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pacing w:lineRule="auto" w:line="240" w:before="0" w:after="0"/>
        <w:ind w:hanging="0" w:left="4592" w:right="0"/>
        <w:contextualSpacing/>
        <w:jc w:val="both"/>
        <w:rPr>
          <w:rFonts w:ascii="Times New Roman" w:hAnsi="Times New Roman"/>
        </w:rPr>
      </w:pPr>
      <w:r>
        <w:rPr>
          <w:rFonts w:ascii="Times New Roman" w:hAnsi="Times New Roman"/>
          <w:sz w:val="28"/>
        </w:rPr>
        <w:t>Приложение 4 к приказу Министерства</w:t>
      </w:r>
    </w:p>
    <w:p>
      <w:pPr>
        <w:pStyle w:val="Normal"/>
        <w:widowControl w:val="false"/>
        <w:spacing w:lineRule="auto" w:line="240" w:before="0" w:after="0"/>
        <w:ind w:hanging="0" w:left="4592" w:right="0"/>
        <w:contextualSpacing/>
        <w:jc w:val="left"/>
        <w:rPr>
          <w:rFonts w:ascii="Times New Roman" w:hAnsi="Times New Roman"/>
        </w:rPr>
      </w:pPr>
      <w:r>
        <w:rPr>
          <w:rFonts w:ascii="Times New Roman" w:hAnsi="Times New Roman"/>
          <w:sz w:val="28"/>
        </w:rPr>
        <w:t>образования Камчатского края</w:t>
      </w:r>
    </w:p>
    <w:tbl>
      <w:tblPr>
        <w:tblW w:w="4817" w:type="dxa"/>
        <w:jc w:val="left"/>
        <w:tblInd w:w="4408" w:type="dxa"/>
        <w:tblLayout w:type="fixed"/>
        <w:tblCellMar>
          <w:top w:w="55" w:type="dxa"/>
          <w:left w:w="108" w:type="dxa"/>
          <w:bottom w:w="55" w:type="dxa"/>
          <w:right w:w="108" w:type="dxa"/>
        </w:tblCellMar>
      </w:tblPr>
      <w:tblGrid>
        <w:gridCol w:w="723"/>
        <w:gridCol w:w="1777"/>
        <w:gridCol w:w="497"/>
        <w:gridCol w:w="1819"/>
      </w:tblGrid>
      <w:tr>
        <w:trPr/>
        <w:tc>
          <w:tcPr>
            <w:tcW w:w="723" w:type="dxa"/>
            <w:tcBorders/>
          </w:tcPr>
          <w:p>
            <w:pPr>
              <w:pStyle w:val="Normal"/>
              <w:widowControl/>
              <w:tabs>
                <w:tab w:val="clear" w:pos="708"/>
                <w:tab w:val="left" w:pos="229" w:leader="none"/>
              </w:tabs>
              <w:bidi w:val="0"/>
              <w:spacing w:lineRule="auto" w:line="240" w:before="0" w:after="60"/>
              <w:ind w:hanging="0" w:left="170" w:right="0"/>
              <w:jc w:val="left"/>
              <w:rPr>
                <w:rFonts w:ascii="Times New Roman" w:hAnsi="Times New Roman"/>
              </w:rPr>
            </w:pPr>
            <w:r>
              <w:rPr>
                <w:rFonts w:ascii="Times New Roman" w:hAnsi="Times New Roman"/>
                <w:color w:val="000000"/>
                <w:spacing w:val="0"/>
                <w:sz w:val="28"/>
              </w:rPr>
              <w:t>от</w:t>
            </w:r>
          </w:p>
        </w:tc>
        <w:tc>
          <w:tcPr>
            <w:tcW w:w="1777"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themeColor="background1" w:val="FFFFFF"/>
                <w:spacing w:val="0"/>
                <w:sz w:val="28"/>
              </w:rPr>
              <w:t>[R</w:t>
            </w:r>
            <w:r>
              <w:rPr>
                <w:rFonts w:ascii="Times New Roman" w:hAnsi="Times New Roman"/>
                <w:color w:themeColor="background1" w:val="FFFFFF"/>
                <w:spacing w:val="0"/>
                <w:sz w:val="16"/>
              </w:rPr>
              <w:t>EGDATESTAMP]</w:t>
            </w:r>
          </w:p>
        </w:tc>
        <w:tc>
          <w:tcPr>
            <w:tcW w:w="497"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val="000000"/>
                <w:spacing w:val="0"/>
                <w:sz w:val="28"/>
              </w:rPr>
              <w:t>№</w:t>
            </w:r>
          </w:p>
        </w:tc>
        <w:tc>
          <w:tcPr>
            <w:tcW w:w="1819" w:type="dxa"/>
            <w:tcBorders/>
          </w:tcPr>
          <w:p>
            <w:pPr>
              <w:pStyle w:val="Normal"/>
              <w:widowControl/>
              <w:spacing w:lineRule="auto" w:line="240" w:before="0" w:after="60"/>
              <w:ind w:hanging="0" w:left="0" w:right="0"/>
              <w:jc w:val="right"/>
              <w:rPr>
                <w:rFonts w:ascii="Times New Roman" w:hAnsi="Times New Roman"/>
              </w:rPr>
            </w:pPr>
            <w:r>
              <w:rPr>
                <w:rFonts w:ascii="Times New Roman" w:hAnsi="Times New Roman"/>
                <w:color w:themeColor="background1" w:val="FFFFFF"/>
                <w:spacing w:val="0"/>
                <w:sz w:val="28"/>
              </w:rPr>
              <w:t>[R</w:t>
            </w:r>
            <w:r>
              <w:rPr>
                <w:rFonts w:ascii="Times New Roman" w:hAnsi="Times New Roman"/>
                <w:color w:themeColor="background1" w:val="FFFFFF"/>
                <w:spacing w:val="0"/>
                <w:sz w:val="16"/>
              </w:rPr>
              <w:t>EGNUMSTAMP]</w:t>
            </w:r>
          </w:p>
        </w:tc>
      </w:tr>
    </w:tbl>
    <w:p>
      <w:pPr>
        <w:pStyle w:val="Normal"/>
        <w:ind w:hanging="0" w:left="4707" w:right="0"/>
        <w:jc w:val="both"/>
        <w:rPr>
          <w:rFonts w:ascii="Times New Roman" w:hAnsi="Times New Roman"/>
          <w:sz w:val="28"/>
        </w:rPr>
      </w:pPr>
      <w:r>
        <w:rPr>
          <w:rFonts w:ascii="Times New Roman" w:hAnsi="Times New Roman"/>
          <w:sz w:val="28"/>
        </w:rPr>
      </w:r>
    </w:p>
    <w:p>
      <w:pPr>
        <w:pStyle w:val="Normal"/>
        <w:spacing w:lineRule="auto" w:line="264" w:before="0" w:after="0"/>
        <w:ind w:hanging="10" w:left="10" w:right="76"/>
        <w:jc w:val="center"/>
        <w:rPr>
          <w:b/>
          <w:sz w:val="28"/>
        </w:rPr>
      </w:pPr>
      <w:r>
        <w:rPr>
          <w:b/>
          <w:sz w:val="28"/>
        </w:rPr>
        <w:t xml:space="preserve">Инструкции по организации видеонаблюдения при проведении государственной итоговой аттестации по образовательным программам среднего общего образования в 2026 году </w:t>
      </w:r>
    </w:p>
    <w:p>
      <w:pPr>
        <w:pStyle w:val="Normal"/>
        <w:spacing w:lineRule="auto" w:line="264" w:before="0" w:after="0"/>
        <w:ind w:hanging="10" w:left="10" w:right="76"/>
        <w:jc w:val="center"/>
        <w:rPr>
          <w:sz w:val="28"/>
        </w:rPr>
      </w:pPr>
      <w:r>
        <w:rPr>
          <w:sz w:val="28"/>
        </w:rPr>
      </w:r>
    </w:p>
    <w:p>
      <w:pPr>
        <w:pStyle w:val="Normal"/>
        <w:spacing w:lineRule="auto" w:line="264" w:before="0" w:after="144"/>
        <w:ind w:hanging="0" w:left="0" w:right="69"/>
        <w:jc w:val="center"/>
        <w:rPr>
          <w:rFonts w:ascii="Times New Roman" w:hAnsi="Times New Roman"/>
          <w:sz w:val="28"/>
          <w:szCs w:val="28"/>
        </w:rPr>
      </w:pPr>
      <w:r>
        <w:rPr>
          <w:rFonts w:ascii="Times New Roman" w:hAnsi="Times New Roman"/>
          <w:b/>
          <w:sz w:val="28"/>
          <w:szCs w:val="28"/>
        </w:rPr>
        <w:t xml:space="preserve">Оглавление </w:t>
      </w:r>
    </w:p>
    <w:sdt>
      <w:sdtPr>
        <w:docPartObj>
          <w:docPartGallery w:val="Table of Contents"/>
          <w:docPartUnique w:val="true"/>
        </w:docPartObj>
      </w:sdtPr>
      <w:sdtContent>
        <w:p>
          <w:pPr>
            <w:pStyle w:val="TOC1"/>
            <w:tabs>
              <w:tab w:val="clear" w:pos="708"/>
              <w:tab w:val="right" w:pos="9921" w:leader="dot"/>
            </w:tabs>
            <w:rPr/>
          </w:pPr>
          <w:r>
            <w:fldChar w:fldCharType="begin"/>
          </w:r>
          <w:r>
            <w:rPr>
              <w:rStyle w:val="Style13"/>
              <w:rFonts w:ascii="Times New Roman" w:hAnsi="Times New Roman"/>
            </w:rPr>
            <w:instrText xml:space="preserve"> TOC \o "1-3" \h</w:instrText>
          </w:r>
          <w:r>
            <w:rPr>
              <w:rStyle w:val="Style13"/>
              <w:rFonts w:ascii="Times New Roman" w:hAnsi="Times New Roman"/>
            </w:rPr>
            <w:fldChar w:fldCharType="separate"/>
          </w:r>
          <w:hyperlink w:anchor="__RefHeading___Toc4180_3628426337">
            <w:r>
              <w:rPr>
                <w:rStyle w:val="Style13"/>
                <w:rFonts w:ascii="Times New Roman" w:hAnsi="Times New Roman"/>
              </w:rPr>
              <w:t>Перечень условных обозначений и сокращений</w:t>
              <w:tab/>
              <w:t>275</w:t>
            </w:r>
          </w:hyperlink>
        </w:p>
        <w:p>
          <w:pPr>
            <w:pStyle w:val="TOC1"/>
            <w:tabs>
              <w:tab w:val="clear" w:pos="708"/>
              <w:tab w:val="right" w:pos="9921" w:leader="dot"/>
            </w:tabs>
            <w:rPr/>
          </w:pPr>
          <w:hyperlink w:anchor="__RefHeading___Toc4785_3628426337">
            <w:r>
              <w:rPr>
                <w:rStyle w:val="Style13"/>
                <w:rFonts w:ascii="Times New Roman" w:hAnsi="Times New Roman"/>
              </w:rPr>
              <w:t>Раздел 1. Общие положения</w:t>
              <w:tab/>
              <w:t>277</w:t>
            </w:r>
          </w:hyperlink>
        </w:p>
        <w:p>
          <w:pPr>
            <w:pStyle w:val="TOC2"/>
            <w:tabs>
              <w:tab w:val="clear" w:pos="708"/>
              <w:tab w:val="right" w:pos="9921" w:leader="dot"/>
            </w:tabs>
            <w:rPr/>
          </w:pPr>
          <w:hyperlink w:anchor="__RefHeading___Toc4182_3628426337">
            <w:r>
              <w:rPr>
                <w:rStyle w:val="Style13"/>
                <w:rFonts w:ascii="Times New Roman" w:hAnsi="Times New Roman"/>
              </w:rPr>
              <w:t>1.1. Назначение и область применения</w:t>
              <w:tab/>
              <w:t>277</w:t>
            </w:r>
          </w:hyperlink>
        </w:p>
        <w:p>
          <w:pPr>
            <w:pStyle w:val="TOC2"/>
            <w:tabs>
              <w:tab w:val="clear" w:pos="708"/>
              <w:tab w:val="right" w:pos="9921" w:leader="dot"/>
            </w:tabs>
            <w:rPr/>
          </w:pPr>
          <w:hyperlink w:anchor="__RefHeading___Toc4184_3628426337">
            <w:r>
              <w:rPr>
                <w:rStyle w:val="Style13"/>
                <w:rFonts w:ascii="Times New Roman" w:hAnsi="Times New Roman"/>
              </w:rPr>
              <w:t>1.2. Цели и задачи видеонаблюдения</w:t>
              <w:tab/>
              <w:t>277</w:t>
            </w:r>
          </w:hyperlink>
        </w:p>
        <w:p>
          <w:pPr>
            <w:pStyle w:val="TOC2"/>
            <w:tabs>
              <w:tab w:val="clear" w:pos="708"/>
              <w:tab w:val="right" w:pos="9921" w:leader="dot"/>
            </w:tabs>
            <w:rPr/>
          </w:pPr>
          <w:hyperlink w:anchor="__RefHeading___Toc4186_3628426337">
            <w:r>
              <w:rPr>
                <w:rStyle w:val="Style13"/>
                <w:rFonts w:ascii="Times New Roman" w:hAnsi="Times New Roman"/>
              </w:rPr>
              <w:t>1.3. Помещения для организации видеонаблюдения</w:t>
              <w:tab/>
              <w:t>277</w:t>
            </w:r>
          </w:hyperlink>
        </w:p>
        <w:p>
          <w:pPr>
            <w:pStyle w:val="TOC2"/>
            <w:tabs>
              <w:tab w:val="clear" w:pos="708"/>
              <w:tab w:val="right" w:pos="9921" w:leader="dot"/>
            </w:tabs>
            <w:rPr/>
          </w:pPr>
          <w:hyperlink w:anchor="__RefHeading___Toc4188_3628426337">
            <w:r>
              <w:rPr>
                <w:rStyle w:val="Style13"/>
                <w:rFonts w:ascii="Times New Roman" w:hAnsi="Times New Roman"/>
              </w:rPr>
              <w:t>1.4. Организация видеонаблюдения</w:t>
              <w:tab/>
              <w:t>278</w:t>
            </w:r>
          </w:hyperlink>
        </w:p>
        <w:p>
          <w:pPr>
            <w:pStyle w:val="TOC2"/>
            <w:tabs>
              <w:tab w:val="clear" w:pos="708"/>
              <w:tab w:val="right" w:pos="9921" w:leader="dot"/>
            </w:tabs>
            <w:rPr/>
          </w:pPr>
          <w:hyperlink w:anchor="__RefHeading___Toc4190_3628426337">
            <w:r>
              <w:rPr>
                <w:rStyle w:val="Style13"/>
                <w:rFonts w:ascii="Times New Roman" w:hAnsi="Times New Roman"/>
              </w:rPr>
              <w:t>1.5. Назначение ответственных лиц</w:t>
              <w:tab/>
              <w:t>278</w:t>
            </w:r>
          </w:hyperlink>
        </w:p>
        <w:p>
          <w:pPr>
            <w:pStyle w:val="TOC1"/>
            <w:tabs>
              <w:tab w:val="clear" w:pos="708"/>
              <w:tab w:val="right" w:pos="9921" w:leader="dot"/>
            </w:tabs>
            <w:rPr/>
          </w:pPr>
          <w:hyperlink w:anchor="__RefHeading___Toc4787_3628426337">
            <w:r>
              <w:rPr>
                <w:rStyle w:val="Style13"/>
                <w:rFonts w:ascii="Times New Roman" w:hAnsi="Times New Roman"/>
              </w:rPr>
              <w:t>Раздел 2.Техническое оснащение и требования к средствам видеонаблюдения</w:t>
              <w:tab/>
              <w:t>279</w:t>
            </w:r>
          </w:hyperlink>
        </w:p>
        <w:p>
          <w:pPr>
            <w:pStyle w:val="TOC2"/>
            <w:tabs>
              <w:tab w:val="clear" w:pos="708"/>
              <w:tab w:val="right" w:pos="9921" w:leader="dot"/>
            </w:tabs>
            <w:rPr/>
          </w:pPr>
          <w:hyperlink w:anchor="__RefHeading___Toc4789_3628426337">
            <w:r>
              <w:rPr>
                <w:rStyle w:val="Style13"/>
                <w:rFonts w:ascii="Times New Roman" w:hAnsi="Times New Roman"/>
              </w:rPr>
              <w:t>2.1. Состав средств видеонаблюдения</w:t>
              <w:tab/>
              <w:t>279</w:t>
            </w:r>
          </w:hyperlink>
        </w:p>
        <w:p>
          <w:pPr>
            <w:pStyle w:val="TOC2"/>
            <w:tabs>
              <w:tab w:val="clear" w:pos="708"/>
              <w:tab w:val="right" w:pos="9921" w:leader="dot"/>
            </w:tabs>
            <w:rPr/>
          </w:pPr>
          <w:hyperlink w:anchor="__RefHeading___Toc4196_3628426337">
            <w:r>
              <w:rPr>
                <w:rStyle w:val="Style13"/>
                <w:rFonts w:ascii="Times New Roman" w:hAnsi="Times New Roman"/>
              </w:rPr>
              <w:t>2.3. Требования к размещению средств видеонаблюдения</w:t>
              <w:tab/>
              <w:t>280</w:t>
            </w:r>
          </w:hyperlink>
        </w:p>
        <w:p>
          <w:pPr>
            <w:pStyle w:val="TOC1"/>
            <w:tabs>
              <w:tab w:val="clear" w:pos="708"/>
              <w:tab w:val="right" w:pos="9921" w:leader="dot"/>
            </w:tabs>
            <w:rPr/>
          </w:pPr>
          <w:hyperlink w:anchor="__RefHeading___Toc4791_3628426337">
            <w:r>
              <w:rPr>
                <w:rStyle w:val="Style13"/>
                <w:rFonts w:ascii="Times New Roman" w:hAnsi="Times New Roman"/>
              </w:rPr>
              <w:t>Раздел 3. Организация видеозаписи, трансляции и хранения видеоизображений.</w:t>
              <w:tab/>
              <w:t>281</w:t>
            </w:r>
          </w:hyperlink>
        </w:p>
        <w:p>
          <w:pPr>
            <w:pStyle w:val="TOC1"/>
            <w:widowControl/>
            <w:tabs>
              <w:tab w:val="clear" w:pos="708"/>
              <w:tab w:val="right" w:pos="9921" w:leader="dot"/>
            </w:tabs>
            <w:suppressAutoHyphens w:val="true"/>
            <w:bidi w:val="0"/>
            <w:spacing w:lineRule="auto" w:line="240" w:before="0" w:after="0"/>
            <w:ind w:firstLine="227" w:left="0" w:right="0"/>
            <w:jc w:val="left"/>
            <w:rPr/>
          </w:pPr>
          <w:hyperlink w:anchor="__RefHeading___Toc4793_3628426337">
            <w:r>
              <w:rPr>
                <w:rStyle w:val="Style13"/>
                <w:rFonts w:ascii="Times New Roman" w:hAnsi="Times New Roman"/>
                <w:b w:val="false"/>
                <w:bCs w:val="false"/>
              </w:rPr>
              <w:t>3.1. Организация видеозаписи и онлайн трансляции видеоизображения на Портал.</w:t>
              <w:tab/>
              <w:t>281</w:t>
            </w:r>
          </w:hyperlink>
        </w:p>
        <w:p>
          <w:pPr>
            <w:pStyle w:val="TOC2"/>
            <w:tabs>
              <w:tab w:val="clear" w:pos="708"/>
              <w:tab w:val="right" w:pos="9921" w:leader="dot"/>
            </w:tabs>
            <w:rPr/>
          </w:pPr>
          <w:hyperlink w:anchor="__RefHeading___Toc4206_3628426337">
            <w:r>
              <w:rPr>
                <w:rStyle w:val="Style13"/>
                <w:rFonts w:ascii="Times New Roman" w:hAnsi="Times New Roman"/>
              </w:rPr>
              <w:t>3.2. Организация видеозаписи в офлайн ППЭ</w:t>
              <w:tab/>
              <w:t>283</w:t>
            </w:r>
          </w:hyperlink>
        </w:p>
        <w:p>
          <w:pPr>
            <w:pStyle w:val="TOC1"/>
            <w:tabs>
              <w:tab w:val="clear" w:pos="708"/>
              <w:tab w:val="right" w:pos="9921" w:leader="dot"/>
            </w:tabs>
            <w:rPr/>
          </w:pPr>
          <w:hyperlink w:anchor="__RefHeading___Toc4208_3628426337">
            <w:r>
              <w:rPr>
                <w:rStyle w:val="Style13"/>
                <w:rFonts w:ascii="Times New Roman" w:hAnsi="Times New Roman"/>
              </w:rPr>
              <w:t>Раздел 4. Тестирование системы видеонаблюдения</w:t>
              <w:tab/>
              <w:t>284</w:t>
            </w:r>
          </w:hyperlink>
        </w:p>
        <w:p>
          <w:pPr>
            <w:pStyle w:val="TOC1"/>
            <w:tabs>
              <w:tab w:val="clear" w:pos="708"/>
              <w:tab w:val="right" w:pos="9921" w:leader="dot"/>
            </w:tabs>
            <w:rPr/>
          </w:pPr>
          <w:hyperlink w:anchor="__RefHeading___Toc4210_3628426337">
            <w:r>
              <w:rPr>
                <w:rStyle w:val="Style13"/>
                <w:rFonts w:ascii="Times New Roman" w:hAnsi="Times New Roman"/>
              </w:rPr>
              <w:t>Раздел 5. Организация доступа к Порталу и порядок работы с нарушениями</w:t>
              <w:tab/>
              <w:t>284</w:t>
            </w:r>
          </w:hyperlink>
        </w:p>
        <w:p>
          <w:pPr>
            <w:pStyle w:val="TOC2"/>
            <w:tabs>
              <w:tab w:val="clear" w:pos="708"/>
              <w:tab w:val="right" w:pos="9921" w:leader="dot"/>
            </w:tabs>
            <w:rPr/>
          </w:pPr>
          <w:hyperlink w:anchor="__RefHeading___Toc4802_3628426337">
            <w:r>
              <w:rPr>
                <w:rStyle w:val="Style13"/>
                <w:rFonts w:ascii="Times New Roman" w:hAnsi="Times New Roman"/>
              </w:rPr>
              <w:t>5.1. Работа с информацией о нарушении, поступившей в ППЭ во время проведения экзамена.</w:t>
              <w:tab/>
              <w:t>284</w:t>
            </w:r>
          </w:hyperlink>
        </w:p>
        <w:p>
          <w:pPr>
            <w:pStyle w:val="TOC2"/>
            <w:tabs>
              <w:tab w:val="clear" w:pos="708"/>
              <w:tab w:val="right" w:pos="9921" w:leader="dot"/>
            </w:tabs>
            <w:rPr/>
          </w:pPr>
          <w:hyperlink w:anchor="__RefHeading___Toc4804_3628426337">
            <w:r>
              <w:rPr>
                <w:rStyle w:val="Style13"/>
                <w:rFonts w:ascii="Times New Roman" w:hAnsi="Times New Roman"/>
              </w:rPr>
              <w:t>5.2. Работа с информацией о нарушении, зафиксированном вне времени проведения экзамена (офлайн «метки»).</w:t>
              <w:tab/>
              <w:t>286</w:t>
            </w:r>
          </w:hyperlink>
        </w:p>
        <w:p>
          <w:pPr>
            <w:pStyle w:val="TOC1"/>
            <w:tabs>
              <w:tab w:val="clear" w:pos="708"/>
              <w:tab w:val="right" w:pos="9921" w:leader="dot"/>
            </w:tabs>
            <w:rPr/>
          </w:pPr>
          <w:hyperlink w:anchor="__RefHeading___Toc4214_3628426337">
            <w:r>
              <w:rPr>
                <w:rStyle w:val="Style13"/>
                <w:rFonts w:ascii="Times New Roman" w:hAnsi="Times New Roman"/>
              </w:rPr>
              <w:t>Приложение</w:t>
              <w:tab/>
              <w:t>288</w:t>
            </w:r>
          </w:hyperlink>
          <w:r>
            <w:rPr>
              <w:rStyle w:val="Style13"/>
              <w:rFonts w:ascii="Times New Roman" w:hAnsi="Times New Roman"/>
            </w:rPr>
            <w:fldChar w:fldCharType="end"/>
          </w:r>
        </w:p>
      </w:sdtContent>
    </w:sdt>
    <w:p>
      <w:pPr>
        <w:pStyle w:val="Normal"/>
        <w:widowControl/>
        <w:bidi w:val="0"/>
        <w:spacing w:lineRule="auto" w:line="240" w:before="0" w:after="0"/>
        <w:ind w:hanging="0" w:left="0" w:right="0"/>
        <w:jc w:val="left"/>
        <w:rPr/>
      </w:pPr>
      <w:r>
        <w:rPr/>
      </w:r>
    </w:p>
    <w:p>
      <w:pPr>
        <w:pStyle w:val="Normal"/>
        <w:rPr>
          <w:sz w:val="28"/>
        </w:rPr>
      </w:pPr>
      <w:r>
        <w:rPr>
          <w:sz w:val="28"/>
        </w:rPr>
      </w:r>
    </w:p>
    <w:p>
      <w:pPr>
        <w:pStyle w:val="Normal"/>
        <w:spacing w:lineRule="auto" w:line="264" w:before="0" w:after="19"/>
        <w:ind w:hanging="0" w:left="0" w:right="0"/>
        <w:jc w:val="left"/>
        <w:rPr>
          <w:sz w:val="28"/>
        </w:rPr>
      </w:pPr>
      <w:r>
        <w:rPr>
          <w:sz w:val="28"/>
        </w:rPr>
        <w:t xml:space="preserve">  </w:t>
      </w:r>
      <w:r>
        <w:rPr>
          <w:sz w:val="28"/>
        </w:rPr>
        <w:tab/>
        <w:t xml:space="preserve"> </w:t>
      </w:r>
      <w:r>
        <w:br w:type="page"/>
      </w:r>
    </w:p>
    <w:p>
      <w:pPr>
        <w:pStyle w:val="Heading1"/>
        <w:spacing w:before="0" w:after="120"/>
        <w:rPr/>
      </w:pPr>
      <w:bookmarkStart w:id="0" w:name="__RefHeading___Toc4180_3628426337"/>
      <w:bookmarkEnd w:id="0"/>
      <w:r>
        <w:rPr/>
        <w:t xml:space="preserve">Перечень условных обозначений и сокращений </w:t>
      </w:r>
    </w:p>
    <w:tbl>
      <w:tblPr>
        <w:tblW w:w="9925" w:type="dxa"/>
        <w:jc w:val="left"/>
        <w:tblInd w:w="11" w:type="dxa"/>
        <w:tblLayout w:type="fixed"/>
        <w:tblCellMar>
          <w:top w:w="0" w:type="dxa"/>
          <w:left w:w="62" w:type="dxa"/>
          <w:bottom w:w="0" w:type="dxa"/>
          <w:right w:w="5" w:type="dxa"/>
        </w:tblCellMar>
      </w:tblPr>
      <w:tblGrid>
        <w:gridCol w:w="2500"/>
        <w:gridCol w:w="7424"/>
      </w:tblGrid>
      <w:tr>
        <w:trPr>
          <w:trHeight w:val="8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ГИА</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rPr>
                <w:sz w:val="28"/>
              </w:rPr>
            </w:pPr>
            <w:r>
              <w:rPr>
                <w:sz w:val="28"/>
              </w:rPr>
              <w:t>Государственная итоговая аттестация по образовательным программам среднего общего образования</w:t>
            </w:r>
          </w:p>
        </w:tc>
      </w:tr>
      <w:tr>
        <w:trPr>
          <w:trHeight w:val="1709"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CCTV-решение</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18"/>
              <w:ind w:hanging="0" w:left="0" w:right="63"/>
              <w:rPr>
                <w:sz w:val="28"/>
              </w:rPr>
            </w:pPr>
            <w:r>
              <w:rPr>
                <w:sz w:val="28"/>
              </w:rPr>
              <w:t>Сlosed Circuit Television – процесс, осуществляемый с применением оптико-электронных устройств, предназначенных для визуального контроля или автоматического анализа изображений. Решение, позволяющее выводить видео</w:t>
            </w:r>
          </w:p>
          <w:p>
            <w:pPr>
              <w:pStyle w:val="Normal"/>
              <w:widowControl/>
              <w:spacing w:lineRule="auto" w:line="264" w:before="0" w:after="0"/>
              <w:ind w:hanging="0" w:left="0" w:right="0"/>
              <w:jc w:val="left"/>
              <w:rPr>
                <w:sz w:val="28"/>
              </w:rPr>
            </w:pPr>
            <w:r>
              <w:rPr>
                <w:sz w:val="28"/>
              </w:rPr>
              <w:t>изображение со всех камер в ППЭ на один компьютер</w:t>
            </w:r>
          </w:p>
        </w:tc>
      </w:tr>
      <w:tr>
        <w:trPr>
          <w:trHeight w:val="812"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IP камера</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rPr>
                <w:sz w:val="28"/>
              </w:rPr>
            </w:pPr>
            <w:r>
              <w:rPr>
                <w:sz w:val="28"/>
              </w:rPr>
              <w:t>Цифровая видеокамера, устанавливаемая в помещениях ППЭ</w:t>
            </w:r>
          </w:p>
        </w:tc>
      </w:tr>
      <w:tr>
        <w:trPr>
          <w:trHeight w:val="8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ГЭК</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Государственная экзаменационная комиссия Камчатского края по проведению государственной итоговой аттестации по образовательным программам среднего общего образования</w:t>
            </w:r>
          </w:p>
        </w:tc>
      </w:tr>
      <w:tr>
        <w:trPr>
          <w:trHeight w:val="5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ЕГЭ</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Единый государственный экзамен</w:t>
            </w:r>
          </w:p>
        </w:tc>
      </w:tr>
      <w:tr>
        <w:trPr>
          <w:trHeight w:val="5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КИМ</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Контрольные измерительные материалы</w:t>
            </w:r>
          </w:p>
        </w:tc>
      </w:tr>
      <w:tr>
        <w:trPr>
          <w:trHeight w:val="1709"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Куратор СИЦ</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68"/>
              <w:rPr>
                <w:sz w:val="28"/>
              </w:rPr>
            </w:pPr>
            <w:r>
              <w:rPr>
                <w:sz w:val="28"/>
              </w:rPr>
              <w:t>Уполномоченное лицо, осуществляющее координацию работы ситуационно-информационного центра субъекта Российской Федерации, организованного, в том числе для осуществления онлайн-наблюдения за проведением экзаменов на портале smotriege.ru</w:t>
            </w:r>
          </w:p>
        </w:tc>
      </w:tr>
      <w:tr>
        <w:trPr>
          <w:trHeight w:val="1109"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Общественные наблюдатели</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63"/>
              <w:rPr>
                <w:sz w:val="28"/>
              </w:rPr>
            </w:pPr>
            <w:r>
              <w:rPr>
                <w:sz w:val="28"/>
              </w:rPr>
              <w:t>Совершеннолетние граждане Российской Федерации, получившие аккредитацию в соответствии с Порядком аккредитации граждан в качестве общественных наблюдателей</w:t>
            </w:r>
          </w:p>
        </w:tc>
      </w:tr>
      <w:tr>
        <w:trPr>
          <w:trHeight w:val="505"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Министерство</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Министерство образования Камчатского края</w:t>
            </w:r>
          </w:p>
        </w:tc>
      </w:tr>
      <w:tr>
        <w:trPr>
          <w:trHeight w:val="8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Оператор</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rPr>
                <w:sz w:val="28"/>
              </w:rPr>
            </w:pPr>
            <w:r>
              <w:rPr>
                <w:sz w:val="28"/>
              </w:rPr>
              <w:t>ПАО «Ростелеком»</w:t>
            </w:r>
          </w:p>
        </w:tc>
      </w:tr>
      <w:tr>
        <w:trPr>
          <w:trHeight w:val="5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ПО</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Программное обеспечение</w:t>
            </w:r>
          </w:p>
        </w:tc>
      </w:tr>
      <w:tr>
        <w:trPr>
          <w:trHeight w:val="15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Портал</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60"/>
              <w:rPr>
                <w:sz w:val="28"/>
              </w:rPr>
            </w:pPr>
            <w:r>
              <w:rPr>
                <w:sz w:val="28"/>
              </w:rPr>
              <w:t>Специализированный сайт (портал) в информационно-телекоммуникационной сети «Интернет» с доменным именем smotriege.ru, на котором осуществляется трансляция видеоизображения из помещений ППЭ</w:t>
            </w:r>
          </w:p>
        </w:tc>
      </w:tr>
      <w:tr>
        <w:trPr>
          <w:trHeight w:val="1936" w:hRule="atLeast"/>
        </w:trPr>
        <w:tc>
          <w:tcPr>
            <w:tcW w:w="2500" w:type="dxa"/>
            <w:tcBorders>
              <w:top w:val="single" w:sz="4" w:space="0" w:color="000000"/>
              <w:left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Порядок</w:t>
            </w:r>
          </w:p>
        </w:tc>
        <w:tc>
          <w:tcPr>
            <w:tcW w:w="7424" w:type="dxa"/>
            <w:tcBorders>
              <w:top w:val="single" w:sz="4" w:space="0" w:color="000000"/>
              <w:left w:val="single" w:sz="4" w:space="0" w:color="000000"/>
              <w:right w:val="single" w:sz="4" w:space="0" w:color="000000"/>
            </w:tcBorders>
            <w:vAlign w:val="center"/>
          </w:tcPr>
          <w:p>
            <w:pPr>
              <w:pStyle w:val="Normal"/>
              <w:widowControl/>
              <w:tabs>
                <w:tab w:val="clear" w:pos="708"/>
                <w:tab w:val="center" w:pos="1864" w:leader="none"/>
                <w:tab w:val="center" w:pos="3710" w:leader="none"/>
                <w:tab w:val="center" w:pos="5422" w:leader="none"/>
                <w:tab w:val="right" w:pos="7485" w:leader="none"/>
              </w:tabs>
              <w:spacing w:lineRule="auto" w:line="264" w:before="0" w:after="0"/>
              <w:ind w:hanging="0" w:left="0" w:right="0"/>
              <w:jc w:val="left"/>
              <w:rPr>
                <w:sz w:val="28"/>
              </w:rPr>
            </w:pPr>
            <w:r>
              <w:rPr>
                <w:sz w:val="28"/>
              </w:rPr>
              <w:t xml:space="preserve">Порядок проведения государственной итоговой </w:t>
              <w:tab/>
              <w:t>аттестации</w:t>
            </w:r>
          </w:p>
          <w:p>
            <w:pPr>
              <w:pStyle w:val="Normal"/>
              <w:widowControl/>
              <w:spacing w:lineRule="auto" w:line="264" w:before="0" w:after="26"/>
              <w:ind w:hanging="0" w:left="62" w:right="63"/>
              <w:rPr>
                <w:sz w:val="28"/>
              </w:rPr>
            </w:pPr>
            <w:r>
              <w:rPr>
                <w:sz w:val="28"/>
              </w:rPr>
              <w:t>по образовательным программам среднего общего образования, утвержденный приказом Министерства просвещения Российской Федерации и Федеральной службы по надзору в сфере образования и науки от 4 апреля 2023 г. № 233/552</w:t>
            </w:r>
          </w:p>
        </w:tc>
      </w:tr>
      <w:tr>
        <w:trPr>
          <w:trHeight w:val="2009"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Порядок аккредитации граждан в качестве общественных наблюдателей</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63"/>
              <w:rPr>
                <w:sz w:val="28"/>
              </w:rPr>
            </w:pPr>
            <w:r>
              <w:rPr>
                <w:sz w:val="28"/>
              </w:rPr>
              <w:t>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утвержденный приказом Рособрнадзора от 26.08.2022 № 924</w:t>
            </w:r>
          </w:p>
        </w:tc>
      </w:tr>
      <w:tr>
        <w:trPr>
          <w:trHeight w:val="512"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ППЭ</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sz w:val="28"/>
              </w:rPr>
              <w:t>Пункт проведения экзаменов</w:t>
            </w:r>
          </w:p>
        </w:tc>
      </w:tr>
      <w:tr>
        <w:trPr>
          <w:trHeight w:val="14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РИС</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68"/>
              <w:rPr>
                <w:sz w:val="28"/>
              </w:rPr>
            </w:pPr>
            <w:r>
              <w:rPr>
                <w:sz w:val="28"/>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8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РЦОИ</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sz w:val="28"/>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1412"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СИЦ</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67"/>
              <w:rPr>
                <w:sz w:val="28"/>
              </w:rPr>
            </w:pPr>
            <w:r>
              <w:rPr>
                <w:sz w:val="28"/>
              </w:rPr>
              <w:t>Ситуационно-информационный центр Камчатского края, организованный для осуществления онлайн-наблюдения за проведением экзаменов на портале smotriege.ru</w:t>
            </w:r>
          </w:p>
        </w:tc>
      </w:tr>
      <w:tr>
        <w:trPr>
          <w:trHeight w:val="8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Средства видеонаблюдения</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rPr>
                <w:sz w:val="28"/>
              </w:rPr>
            </w:pPr>
            <w:r>
              <w:rPr>
                <w:sz w:val="28"/>
              </w:rPr>
              <w:t>Программно-аппаратный комплекс, обеспечивающий запись видеоизображения и звука и передачу видеоданных в ЦОД</w:t>
            </w:r>
          </w:p>
        </w:tc>
      </w:tr>
      <w:tr>
        <w:trPr>
          <w:trHeight w:val="8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Технический специалист</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rPr>
                <w:sz w:val="28"/>
              </w:rPr>
            </w:pPr>
            <w:r>
              <w:rPr>
                <w:sz w:val="28"/>
              </w:rPr>
              <w:t>Специалист, ответственный за обеспечение работоспособности системы видеонаблюдения в ППЭ в период проведения ГИА</w:t>
            </w:r>
          </w:p>
        </w:tc>
      </w:tr>
      <w:tr>
        <w:trPr>
          <w:trHeight w:val="8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Участники экзамена с ОВЗ</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12" w:right="0"/>
              <w:jc w:val="left"/>
              <w:rPr>
                <w:sz w:val="28"/>
              </w:rPr>
            </w:pPr>
            <w:r>
              <w:rPr>
                <w:b/>
                <w:sz w:val="28"/>
              </w:rPr>
              <w:t xml:space="preserve"> </w:t>
            </w:r>
            <w:r>
              <w:rPr>
                <w:sz w:val="28"/>
              </w:rPr>
              <w:t>Участники ГИА с ограниченными возможностями здоровья</w:t>
            </w:r>
          </w:p>
        </w:tc>
      </w:tr>
      <w:tr>
        <w:trPr>
          <w:trHeight w:val="8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b/>
                <w:sz w:val="28"/>
              </w:rPr>
              <w:t>ФЦТ</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62" w:right="0"/>
              <w:jc w:val="left"/>
              <w:rPr>
                <w:sz w:val="28"/>
              </w:rPr>
            </w:pPr>
            <w:r>
              <w:rPr>
                <w:sz w:val="28"/>
              </w:rPr>
              <w:t xml:space="preserve">Федеральное </w:t>
              <w:tab/>
              <w:t xml:space="preserve">государственное </w:t>
              <w:tab/>
              <w:t>бюджетное учреждение «Федеральный центр тестирования»</w:t>
            </w:r>
          </w:p>
        </w:tc>
      </w:tr>
      <w:tr>
        <w:trPr>
          <w:trHeight w:val="2026"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ЦОД</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49"/>
              <w:ind w:hanging="0" w:left="0" w:right="66"/>
              <w:rPr>
                <w:sz w:val="28"/>
              </w:rPr>
            </w:pPr>
            <w:r>
              <w:rPr>
                <w:sz w:val="28"/>
              </w:rPr>
              <w:t>Центр (центры) обработки данных и (или) сервер (серверы), который (которые) используется (используются) ОИВ для приема и хранения видеоданных от средств видеонаблюдения, установленных в ППЭ, РЦОИ, помещениях для работы предметных и апелляционных комиссий, передачи видеоданных в Федеральный ЦОД для дальнейшего отображения на Портале</w:t>
            </w:r>
          </w:p>
        </w:tc>
      </w:tr>
      <w:tr>
        <w:trPr>
          <w:trHeight w:val="1111"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Штаб ППЭ</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63"/>
              <w:rPr>
                <w:sz w:val="28"/>
              </w:rPr>
            </w:pPr>
            <w:r>
              <w:rPr>
                <w:sz w:val="28"/>
              </w:rPr>
              <w:t>Выделенное в ППЭ помещение, в котором осуществляется безопасное хранение ЭМ, оборудованное телефонной связью, принтером и компьютером</w:t>
            </w:r>
          </w:p>
        </w:tc>
      </w:tr>
      <w:tr>
        <w:trPr>
          <w:trHeight w:val="514" w:hRule="atLeast"/>
        </w:trPr>
        <w:tc>
          <w:tcPr>
            <w:tcW w:w="250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b/>
                <w:sz w:val="28"/>
              </w:rPr>
              <w:t>ЭМ</w:t>
            </w:r>
          </w:p>
        </w:tc>
        <w:tc>
          <w:tcPr>
            <w:tcW w:w="742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0"/>
              <w:jc w:val="left"/>
              <w:rPr>
                <w:sz w:val="28"/>
              </w:rPr>
            </w:pPr>
            <w:r>
              <w:rPr>
                <w:sz w:val="28"/>
              </w:rPr>
              <w:t>Экзаменационные материалы</w:t>
            </w:r>
          </w:p>
        </w:tc>
      </w:tr>
    </w:tbl>
    <w:p>
      <w:pPr>
        <w:pStyle w:val="Normal"/>
        <w:spacing w:lineRule="auto" w:line="264" w:before="0" w:after="0"/>
        <w:ind w:hanging="0" w:left="0" w:right="0"/>
        <w:jc w:val="left"/>
        <w:rPr>
          <w:sz w:val="28"/>
        </w:rPr>
      </w:pPr>
      <w:r>
        <w:rPr>
          <w:sz w:val="28"/>
        </w:rPr>
        <w:t xml:space="preserve"> </w:t>
      </w:r>
    </w:p>
    <w:p>
      <w:pPr>
        <w:pStyle w:val="Heading1"/>
        <w:spacing w:lineRule="auto" w:line="240" w:before="0" w:after="0"/>
        <w:contextualSpacing/>
        <w:jc w:val="center"/>
        <w:rPr>
          <w:rFonts w:ascii="Times New Roman" w:hAnsi="Times New Roman"/>
          <w:sz w:val="28"/>
          <w:szCs w:val="28"/>
        </w:rPr>
      </w:pPr>
      <w:bookmarkStart w:id="1" w:name="__RefHeading___Toc4785_3628426337"/>
      <w:bookmarkEnd w:id="1"/>
      <w:r>
        <w:rPr>
          <w:rFonts w:ascii="Times New Roman" w:hAnsi="Times New Roman"/>
          <w:sz w:val="28"/>
          <w:szCs w:val="28"/>
        </w:rPr>
        <w:t xml:space="preserve">Раздел 1. Общие положения </w:t>
      </w:r>
    </w:p>
    <w:p>
      <w:pPr>
        <w:pStyle w:val="Heading2"/>
        <w:numPr>
          <w:ilvl w:val="0"/>
          <w:numId w:val="0"/>
        </w:numPr>
        <w:spacing w:before="0" w:after="0"/>
        <w:ind w:hanging="0" w:left="1080" w:right="0"/>
        <w:contextualSpacing/>
        <w:rPr>
          <w:rFonts w:ascii="Times New Roman" w:hAnsi="Times New Roman"/>
        </w:rPr>
      </w:pPr>
      <w:bookmarkStart w:id="2" w:name="__RefHeading___Toc4182_3628426337"/>
      <w:bookmarkEnd w:id="2"/>
      <w:r>
        <w:rPr>
          <w:rFonts w:ascii="Times New Roman" w:hAnsi="Times New Roman"/>
        </w:rPr>
        <w:t xml:space="preserve">1.1. Назначение и область применения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Настоящие инструкции определяют: </w:t>
      </w:r>
    </w:p>
    <w:p>
      <w:pPr>
        <w:pStyle w:val="Normal"/>
        <w:widowControl/>
        <w:numPr>
          <w:ilvl w:val="0"/>
          <w:numId w:val="2"/>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объекты видеонаблюдения; </w:t>
      </w:r>
    </w:p>
    <w:p>
      <w:pPr>
        <w:pStyle w:val="Normal"/>
        <w:widowControl/>
        <w:numPr>
          <w:ilvl w:val="0"/>
          <w:numId w:val="2"/>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требования к средствам видеонаблюдения и их размещению; </w:t>
      </w:r>
    </w:p>
    <w:p>
      <w:pPr>
        <w:pStyle w:val="Normal"/>
        <w:widowControl/>
        <w:numPr>
          <w:ilvl w:val="0"/>
          <w:numId w:val="2"/>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порядок осуществления онлайн-трансляции и видеозаписи; </w:t>
      </w:r>
    </w:p>
    <w:p>
      <w:pPr>
        <w:pStyle w:val="Normal"/>
        <w:widowControl/>
        <w:numPr>
          <w:ilvl w:val="0"/>
          <w:numId w:val="2"/>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порядок работы с информацией о нарушениях.</w:t>
      </w:r>
    </w:p>
    <w:p>
      <w:pPr>
        <w:pStyle w:val="Heading2"/>
        <w:numPr>
          <w:ilvl w:val="0"/>
          <w:numId w:val="0"/>
        </w:numPr>
        <w:spacing w:before="0" w:after="0"/>
        <w:ind w:hanging="0" w:left="1080" w:right="0"/>
        <w:contextualSpacing/>
        <w:rPr>
          <w:rFonts w:ascii="Times New Roman" w:hAnsi="Times New Roman"/>
        </w:rPr>
      </w:pPr>
      <w:bookmarkStart w:id="3" w:name="__RefHeading___Toc4184_3628426337"/>
      <w:bookmarkEnd w:id="3"/>
      <w:r>
        <w:rPr>
          <w:rFonts w:ascii="Times New Roman" w:hAnsi="Times New Roman"/>
        </w:rPr>
        <w:t xml:space="preserve">1.2. Цели и задачи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Основными целями организации видеонаблюдения при проведении ГИА являются: </w:t>
      </w:r>
    </w:p>
    <w:p>
      <w:pPr>
        <w:pStyle w:val="Normal"/>
        <w:numPr>
          <w:ilvl w:val="0"/>
          <w:numId w:val="2"/>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обеспечение объективности и прозрачности процедуры проведения ЕГЭ; </w:t>
      </w:r>
    </w:p>
    <w:p>
      <w:pPr>
        <w:pStyle w:val="Normal"/>
        <w:numPr>
          <w:ilvl w:val="0"/>
          <w:numId w:val="2"/>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предотвращение нарушений установленного Порядка; </w:t>
      </w:r>
    </w:p>
    <w:p>
      <w:pPr>
        <w:pStyle w:val="Normal"/>
        <w:numPr>
          <w:ilvl w:val="0"/>
          <w:numId w:val="2"/>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оперативное выявление и пресечение нарушений Порядка; </w:t>
      </w:r>
    </w:p>
    <w:p>
      <w:pPr>
        <w:pStyle w:val="Normal"/>
        <w:numPr>
          <w:ilvl w:val="0"/>
          <w:numId w:val="2"/>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обеспечение общественного контроля за проведением ГИА; </w:t>
      </w:r>
    </w:p>
    <w:p>
      <w:pPr>
        <w:pStyle w:val="Normal"/>
        <w:numPr>
          <w:ilvl w:val="0"/>
          <w:numId w:val="2"/>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фиксация всех этапов проведения экзаменов для возможности последующего анализа;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повышение доверия общества к результатам ЕГЭ. </w:t>
      </w:r>
    </w:p>
    <w:p>
      <w:pPr>
        <w:pStyle w:val="Normal"/>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r>
    </w:p>
    <w:p>
      <w:pPr>
        <w:pStyle w:val="Normal"/>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Задачами системы видеонаблюдения являются: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непрерывная видео- и аудиофиксация всех процедур, связанных с проведением ЕГЭ;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обеспечение онлайн-трансляции хода проведения ЕГЭ;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предоставление доступа к онлайн-трансляции уполномоченным лицам и общественным наблюдателям;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сохранение видеозаписей для возможности их последующего просмотра и анализа; </w:t>
      </w:r>
    </w:p>
    <w:p>
      <w:pPr>
        <w:pStyle w:val="Normal"/>
        <w:numPr>
          <w:ilvl w:val="0"/>
          <w:numId w:val="2"/>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протоколирование всех действий с оборудованием видеонаблюдения. </w:t>
      </w:r>
    </w:p>
    <w:p>
      <w:pPr>
        <w:pStyle w:val="Heading2"/>
        <w:numPr>
          <w:ilvl w:val="0"/>
          <w:numId w:val="0"/>
        </w:numPr>
        <w:tabs>
          <w:tab w:val="clear" w:pos="708"/>
          <w:tab w:val="left" w:pos="508" w:leader="none"/>
        </w:tabs>
        <w:ind w:hanging="0" w:left="1080" w:right="0"/>
        <w:rPr>
          <w:rFonts w:ascii="Times New Roman" w:hAnsi="Times New Roman"/>
        </w:rPr>
      </w:pPr>
      <w:bookmarkStart w:id="4" w:name="__RefHeading___Toc4186_3628426337"/>
      <w:bookmarkEnd w:id="4"/>
      <w:r>
        <w:rPr>
          <w:rFonts w:ascii="Times New Roman" w:hAnsi="Times New Roman"/>
        </w:rPr>
        <w:t xml:space="preserve">1.3. Помещения для организации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Обязательными помещениями для организации видеонаблюдения являются: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1. Штаб ППЭ – помещение, в котором осуществляется: </w:t>
      </w:r>
    </w:p>
    <w:p>
      <w:pPr>
        <w:pStyle w:val="Normal"/>
        <w:numPr>
          <w:ilvl w:val="0"/>
          <w:numId w:val="3"/>
        </w:numPr>
        <w:tabs>
          <w:tab w:val="clear" w:pos="708"/>
          <w:tab w:val="left" w:pos="969"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безопасное хранение ЭМ; </w:t>
      </w:r>
    </w:p>
    <w:p>
      <w:pPr>
        <w:pStyle w:val="Normal"/>
        <w:numPr>
          <w:ilvl w:val="0"/>
          <w:numId w:val="3"/>
        </w:numPr>
        <w:tabs>
          <w:tab w:val="clear" w:pos="708"/>
          <w:tab w:val="left" w:pos="969"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работа руководителя ППЭ, технических специалистов и членов ГЭК; </w:t>
      </w:r>
    </w:p>
    <w:p>
      <w:pPr>
        <w:pStyle w:val="Normal"/>
        <w:numPr>
          <w:ilvl w:val="0"/>
          <w:numId w:val="3"/>
        </w:numPr>
        <w:tabs>
          <w:tab w:val="clear" w:pos="708"/>
          <w:tab w:val="left" w:pos="969"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доступ к личному кабинету ППЭ и Порталу; </w:t>
      </w:r>
    </w:p>
    <w:p>
      <w:pPr>
        <w:pStyle w:val="Normal"/>
        <w:numPr>
          <w:ilvl w:val="0"/>
          <w:numId w:val="3"/>
        </w:numPr>
        <w:tabs>
          <w:tab w:val="clear" w:pos="708"/>
          <w:tab w:val="left" w:pos="969"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распечатка и сканирование ЭМ (при применимости); </w:t>
      </w:r>
    </w:p>
    <w:p>
      <w:pPr>
        <w:pStyle w:val="Normal"/>
        <w:numPr>
          <w:ilvl w:val="0"/>
          <w:numId w:val="3"/>
        </w:numPr>
        <w:tabs>
          <w:tab w:val="clear" w:pos="708"/>
          <w:tab w:val="left" w:pos="969"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передача КИМ в РЦОИ. </w:t>
      </w:r>
    </w:p>
    <w:p>
      <w:pPr>
        <w:pStyle w:val="Normal"/>
        <w:numPr>
          <w:ilvl w:val="0"/>
          <w:numId w:val="4"/>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Аудитории ППЭ – помещения, в которых непосредственно проводится экзамен и находятся участники ЕГЭ. </w:t>
      </w:r>
    </w:p>
    <w:p>
      <w:pPr>
        <w:pStyle w:val="Normal"/>
        <w:numPr>
          <w:ilvl w:val="0"/>
          <w:numId w:val="5"/>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Помещения для работы предметных комиссий (ПК), в которых осуществляется проверка экзаменационных работ участников ЕГЭ. </w:t>
      </w:r>
    </w:p>
    <w:p>
      <w:pPr>
        <w:pStyle w:val="Normal"/>
        <w:numPr>
          <w:ilvl w:val="0"/>
          <w:numId w:val="5"/>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Помещения для работы апелляционных комиссий (АК), в которых осуществляется рассмотрение апелляций участников ЕГЭ. </w:t>
      </w:r>
    </w:p>
    <w:p>
      <w:pPr>
        <w:pStyle w:val="Heading2"/>
        <w:numPr>
          <w:ilvl w:val="0"/>
          <w:numId w:val="0"/>
        </w:numPr>
        <w:ind w:hanging="0" w:left="1080" w:right="0"/>
        <w:rPr>
          <w:rFonts w:ascii="Times New Roman" w:hAnsi="Times New Roman"/>
        </w:rPr>
      </w:pPr>
      <w:bookmarkStart w:id="5" w:name="__RefHeading___Toc4188_3628426337"/>
      <w:bookmarkEnd w:id="5"/>
      <w:r>
        <w:rPr>
          <w:rFonts w:ascii="Times New Roman" w:hAnsi="Times New Roman"/>
        </w:rPr>
        <w:t xml:space="preserve">1.4. Организация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Для организации видеонаблюдения обеспечивается: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1. Техническое оснащение: </w:t>
      </w:r>
    </w:p>
    <w:p>
      <w:pPr>
        <w:pStyle w:val="Normal"/>
        <w:numPr>
          <w:ilvl w:val="0"/>
          <w:numId w:val="6"/>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установка и настройка средств видеонаблюдения в аудиториях ППЭ, штабах ППЭ;</w:t>
      </w:r>
    </w:p>
    <w:p>
      <w:pPr>
        <w:pStyle w:val="Normal"/>
        <w:numPr>
          <w:ilvl w:val="0"/>
          <w:numId w:val="6"/>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подключение средств видеонаблюдения к информационно-телекоммуникационной сети «Интернет»; </w:t>
      </w:r>
    </w:p>
    <w:p>
      <w:pPr>
        <w:pStyle w:val="Normal"/>
        <w:numPr>
          <w:ilvl w:val="0"/>
          <w:numId w:val="6"/>
        </w:numPr>
        <w:tabs>
          <w:tab w:val="clear" w:pos="708"/>
          <w:tab w:val="left" w:pos="1131"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установка источников бесперебойного питания.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2. Функциональные возможности: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протоколирование действий на средствах видеонаблюдения в электронном виде посредством имеющихся настроек оборудования или программных средств;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передача данных протоколирования на Портал;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непрерывная запись видеоизображения и звука;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трансляция видеоизображения и звука на Портал.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3. Безопасность и сохранность: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сохранность средств видеонаблюдения;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защита видеоданных от несанкционированного доступа;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исключение возможности подмены видеозаписей, полученных со средств видеонаблюдения; </w:t>
      </w:r>
    </w:p>
    <w:p>
      <w:pPr>
        <w:pStyle w:val="Normal"/>
        <w:numPr>
          <w:ilvl w:val="0"/>
          <w:numId w:val="15"/>
        </w:numPr>
        <w:tabs>
          <w:tab w:val="clear" w:pos="708"/>
          <w:tab w:val="left" w:pos="101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гарантия достоверности и целостности видеозаписей, полученных со средств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4. Работоспособность: </w:t>
      </w:r>
    </w:p>
    <w:p>
      <w:pPr>
        <w:pStyle w:val="Normal"/>
        <w:widowControl/>
        <w:numPr>
          <w:ilvl w:val="0"/>
          <w:numId w:val="16"/>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работоспособность средств видеонаблюдения; </w:t>
      </w:r>
    </w:p>
    <w:p>
      <w:pPr>
        <w:pStyle w:val="Normal"/>
        <w:widowControl/>
        <w:numPr>
          <w:ilvl w:val="0"/>
          <w:numId w:val="16"/>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своевременное обновление программного обеспечения средств видеонаблюдения; </w:t>
      </w:r>
    </w:p>
    <w:p>
      <w:pPr>
        <w:pStyle w:val="Normal"/>
        <w:widowControl/>
        <w:numPr>
          <w:ilvl w:val="0"/>
          <w:numId w:val="16"/>
        </w:numPr>
        <w:tabs>
          <w:tab w:val="clear" w:pos="708"/>
          <w:tab w:val="left" w:pos="1015" w:leader="none"/>
        </w:tabs>
        <w:bidi w:val="0"/>
        <w:spacing w:lineRule="auto" w:line="240" w:before="0" w:after="0"/>
        <w:ind w:firstLine="737" w:left="0" w:right="0"/>
        <w:contextualSpacing/>
        <w:jc w:val="both"/>
        <w:rPr/>
      </w:pPr>
      <w:r>
        <w:rPr>
          <w:rFonts w:ascii="Times New Roman" w:hAnsi="Times New Roman"/>
          <w:sz w:val="28"/>
          <w:szCs w:val="28"/>
        </w:rPr>
        <w:t xml:space="preserve">оперативное устранение технических неисправностей. </w:t>
      </w:r>
    </w:p>
    <w:p>
      <w:pPr>
        <w:pStyle w:val="Heading2"/>
        <w:numPr>
          <w:ilvl w:val="0"/>
          <w:numId w:val="0"/>
        </w:numPr>
        <w:ind w:hanging="0" w:left="1080" w:right="0"/>
        <w:rPr>
          <w:rFonts w:ascii="Times New Roman" w:hAnsi="Times New Roman"/>
        </w:rPr>
      </w:pPr>
      <w:bookmarkStart w:id="6" w:name="__RefHeading___Toc4190_3628426337"/>
      <w:bookmarkEnd w:id="6"/>
      <w:r>
        <w:rPr>
          <w:rFonts w:ascii="Times New Roman" w:hAnsi="Times New Roman"/>
        </w:rPr>
        <w:t xml:space="preserve">1.5. Назначение ответственных лиц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Для организации видеонаблюдения и координации действий по установке и эксплуатации оборудования средств видеонаблюдения в ОО назначается технический специалист ППЭ – специалист, ответственный за: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проверку работоспособности системы видеонаблюдения в ППЭ;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включение и выключение средств видеонаблюдения;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контроль за ведением видео- и звукозаписи во время проведения ЕГЭ;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оперативное выявление и сообщение о технических неисправностях;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взаимодействие с членом ГЭК при возникновении нештатных ситуаций;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визуальную проверку работоспособности оборудования после окончания каждого дня ЕГЭ. </w:t>
      </w:r>
    </w:p>
    <w:p>
      <w:pPr>
        <w:pStyle w:val="Normal"/>
        <w:widowControl/>
        <w:numPr>
          <w:ilvl w:val="0"/>
          <w:numId w:val="17"/>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r>
    </w:p>
    <w:p>
      <w:pPr>
        <w:pStyle w:val="Heading1"/>
        <w:numPr>
          <w:ilvl w:val="0"/>
          <w:numId w:val="0"/>
        </w:numPr>
        <w:ind w:hanging="0" w:left="720" w:right="0"/>
        <w:jc w:val="center"/>
        <w:rPr/>
      </w:pPr>
      <w:bookmarkStart w:id="7" w:name="__RefHeading___Toc4787_3628426337"/>
      <w:bookmarkEnd w:id="7"/>
      <w:r>
        <w:rPr>
          <w:rFonts w:ascii="Times New Roman" w:hAnsi="Times New Roman"/>
          <w:sz w:val="28"/>
          <w:szCs w:val="28"/>
        </w:rPr>
        <w:t xml:space="preserve">Раздел 2.Техническое оснащение и требования </w:t>
        <w:br/>
        <w:t xml:space="preserve">к средствам видеонаблюдения </w:t>
      </w:r>
    </w:p>
    <w:p>
      <w:pPr>
        <w:pStyle w:val="Heading2"/>
        <w:numPr>
          <w:ilvl w:val="0"/>
          <w:numId w:val="0"/>
        </w:numPr>
        <w:ind w:hanging="0" w:left="1080" w:right="0"/>
        <w:rPr/>
      </w:pPr>
      <w:bookmarkStart w:id="8" w:name="__RefHeading___Toc4789_3628426337"/>
      <w:bookmarkEnd w:id="8"/>
      <w:r>
        <w:rPr>
          <w:rFonts w:ascii="Times New Roman" w:hAnsi="Times New Roman"/>
        </w:rPr>
        <w:t xml:space="preserve">2.1. Состав средств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Конфигурация средств видеонаблюдения обязана исключать возможность подмены информации, гарантировать ее достоверность и целостность, защиту данных от несанкционированного доступа к информации.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Для оснащения аудиторий ППЭ, штабов ППЭ средствами видеонаблюдения используются следующие компоненты: </w:t>
      </w:r>
    </w:p>
    <w:p>
      <w:pPr>
        <w:pStyle w:val="Normal"/>
        <w:numPr>
          <w:ilvl w:val="0"/>
          <w:numId w:val="7"/>
        </w:numPr>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Камеры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Две IP-камеры видеонаблюдения в каждом помещении. IP-камеры должны быть оснащены компактными флеш-накопителями (картами памяти), предназначенными для хранения видеозаписей проведения ЕГЭ, емкостью не менее 64ГБ;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Допускается использование одной IP-камеры видеонаблюдения, если ее технические параметры обеспечивают полный обзор помещения и в ракурс попадают все объекты видеонаблюдения, указанные в п.3 настоящих инструкций.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Использование программно-аппаратных комплексов образца 2014 года, </w:t>
      </w:r>
      <w:bookmarkStart w:id="9" w:name="_GoBack"/>
      <w:bookmarkEnd w:id="9"/>
      <w:r>
        <w:rPr>
          <w:rFonts w:ascii="Times New Roman" w:hAnsi="Times New Roman"/>
          <w:sz w:val="28"/>
          <w:szCs w:val="28"/>
        </w:rPr>
        <w:t xml:space="preserve">реализованных на базе стационарных компьютеров и (или) ноутбуков не рекомендуется ввиду технологического износа и значительных рисков прерывания видеозаписи и трансляции проведения ЕГЭ. </w:t>
      </w:r>
    </w:p>
    <w:p>
      <w:pPr>
        <w:pStyle w:val="Normal"/>
        <w:numPr>
          <w:ilvl w:val="0"/>
          <w:numId w:val="7"/>
        </w:numPr>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Коммутационное оборудование: </w:t>
      </w:r>
    </w:p>
    <w:p>
      <w:pPr>
        <w:pStyle w:val="Normal"/>
        <w:widowControl/>
        <w:numPr>
          <w:ilvl w:val="0"/>
          <w:numId w:val="8"/>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Коммутатор; </w:t>
      </w:r>
    </w:p>
    <w:p>
      <w:pPr>
        <w:pStyle w:val="Normal"/>
        <w:widowControl/>
        <w:numPr>
          <w:ilvl w:val="0"/>
          <w:numId w:val="8"/>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Маршрутизатор (при необходимости) </w:t>
      </w:r>
    </w:p>
    <w:p>
      <w:pPr>
        <w:pStyle w:val="Normal"/>
        <w:widowControl/>
        <w:numPr>
          <w:ilvl w:val="0"/>
          <w:numId w:val="8"/>
        </w:numPr>
        <w:tabs>
          <w:tab w:val="clear" w:pos="708"/>
          <w:tab w:val="left" w:pos="108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Иные устройства для организации соединения с сетями передачи данных. </w:t>
      </w:r>
    </w:p>
    <w:p>
      <w:pPr>
        <w:pStyle w:val="Normal"/>
        <w:numPr>
          <w:ilvl w:val="0"/>
          <w:numId w:val="9"/>
        </w:numPr>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Источник бесперебойного питания.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Источники бесперебойного питания должны обеспечивать функционирование средств видеонаблюдения при отключении внешнего электропитания в течение не менее 20 минут. </w:t>
      </w:r>
    </w:p>
    <w:p>
      <w:pPr>
        <w:pStyle w:val="Normal"/>
        <w:numPr>
          <w:ilvl w:val="0"/>
          <w:numId w:val="9"/>
        </w:numPr>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Материалы и кабельное оборудование: </w:t>
      </w:r>
    </w:p>
    <w:p>
      <w:pPr>
        <w:pStyle w:val="Normal"/>
        <w:widowControl/>
        <w:numPr>
          <w:ilvl w:val="0"/>
          <w:numId w:val="18"/>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кронштейны для монтажа IP-камер, позволяющие устанавливать камеры под необходимым углом; </w:t>
      </w:r>
    </w:p>
    <w:p>
      <w:pPr>
        <w:pStyle w:val="Normal"/>
        <w:widowControl/>
        <w:numPr>
          <w:ilvl w:val="0"/>
          <w:numId w:val="18"/>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кабель питания (при необходимости); </w:t>
      </w:r>
    </w:p>
    <w:p>
      <w:pPr>
        <w:pStyle w:val="Normal"/>
        <w:widowControl/>
        <w:numPr>
          <w:ilvl w:val="0"/>
          <w:numId w:val="18"/>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сетевые кабели для подключения к сети передачи данных (при необходимости); </w:t>
      </w:r>
    </w:p>
    <w:p>
      <w:pPr>
        <w:pStyle w:val="Normal"/>
        <w:widowControl/>
        <w:numPr>
          <w:ilvl w:val="0"/>
          <w:numId w:val="18"/>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USB-удлинители (при необходимости).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5. Персональный компьютер или ноутбук с набором периферийных устройств: </w:t>
      </w:r>
    </w:p>
    <w:p>
      <w:pPr>
        <w:pStyle w:val="Normal"/>
        <w:widowControl/>
        <w:numPr>
          <w:ilvl w:val="0"/>
          <w:numId w:val="19"/>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Для отработки нарушений. Персональный компьютер или ноутбук должен быть подключен к сети Интернет, оснащен клавиатурой, мышью, монитором, средствами воспроизведения звука; </w:t>
      </w:r>
    </w:p>
    <w:p>
      <w:pPr>
        <w:pStyle w:val="Normal"/>
        <w:widowControl/>
        <w:numPr>
          <w:ilvl w:val="0"/>
          <w:numId w:val="19"/>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sz w:val="28"/>
          <w:szCs w:val="28"/>
        </w:rPr>
        <w:t xml:space="preserve">Для работы с ПО CCTV-решение. Персональный компьютер или ноутбук должен быть подключен к локальной вычислительной сети, в которую подключены все камеры видеонаблюдения. </w:t>
      </w:r>
    </w:p>
    <w:p>
      <w:pPr>
        <w:pStyle w:val="Heading2"/>
        <w:numPr>
          <w:ilvl w:val="0"/>
          <w:numId w:val="0"/>
        </w:numPr>
        <w:ind w:hanging="0" w:left="1080" w:right="0"/>
        <w:rPr>
          <w:rFonts w:ascii="Times New Roman" w:hAnsi="Times New Roman"/>
        </w:rPr>
      </w:pPr>
      <w:bookmarkStart w:id="10" w:name="__RefHeading___Toc4196_3628426337"/>
      <w:bookmarkEnd w:id="10"/>
      <w:r>
        <w:rPr>
          <w:rFonts w:ascii="Times New Roman" w:hAnsi="Times New Roman"/>
        </w:rPr>
        <w:t xml:space="preserve">2.3. Требования к размещению средств видеонаблюдения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Видеокамеры в аудиториях ППЭ, штабах ППЭ устанавливаются на высоте не менее двух метров. Обзор камер не должен загораживаться различными предметами (мебель, цветы, проекторы, доски, шторы, светильники, люстры и прочие предметы). Видеозапись должна содержать: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Для аудиторий ППЭ, штаба ППЭ: </w:t>
      </w:r>
    </w:p>
    <w:p>
      <w:pPr>
        <w:pStyle w:val="Normal"/>
        <w:widowControl/>
        <w:numPr>
          <w:ilvl w:val="0"/>
          <w:numId w:val="20"/>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номер ППЭ, соответствующий номеру ППЭ в ФИС; </w:t>
      </w:r>
    </w:p>
    <w:p>
      <w:pPr>
        <w:pStyle w:val="Normal"/>
        <w:widowControl/>
        <w:numPr>
          <w:ilvl w:val="0"/>
          <w:numId w:val="20"/>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номер аудитории, соответствующий номеру аудитории в ФИС, штаб ППЭ маркируется номером 7777; </w:t>
      </w:r>
    </w:p>
    <w:p>
      <w:pPr>
        <w:pStyle w:val="Normal"/>
        <w:widowControl/>
        <w:numPr>
          <w:ilvl w:val="0"/>
          <w:numId w:val="20"/>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дату экзамена в соответствии с утвержденным расписанием экзаменов текущего года; </w:t>
      </w:r>
    </w:p>
    <w:p>
      <w:pPr>
        <w:pStyle w:val="Normal"/>
        <w:widowControl/>
        <w:numPr>
          <w:ilvl w:val="0"/>
          <w:numId w:val="20"/>
        </w:numPr>
        <w:tabs>
          <w:tab w:val="clear" w:pos="708"/>
          <w:tab w:val="left" w:pos="101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местное время. </w:t>
      </w:r>
    </w:p>
    <w:p>
      <w:pPr>
        <w:pStyle w:val="Normal"/>
        <w:numPr>
          <w:ilvl w:val="2"/>
          <w:numId w:val="1"/>
        </w:numPr>
        <w:spacing w:lineRule="auto" w:line="240" w:before="0" w:after="0"/>
        <w:ind w:firstLine="709" w:left="0" w:right="0"/>
        <w:contextualSpacing/>
        <w:jc w:val="both"/>
        <w:rPr>
          <w:rFonts w:ascii="Times New Roman" w:hAnsi="Times New Roman"/>
          <w:sz w:val="28"/>
          <w:szCs w:val="28"/>
        </w:rPr>
      </w:pPr>
      <w:bookmarkStart w:id="11" w:name="__RefHeading___Toc4198_3628426337"/>
      <w:bookmarkEnd w:id="11"/>
      <w:r>
        <w:rPr>
          <w:rFonts w:ascii="Times New Roman" w:hAnsi="Times New Roman"/>
          <w:sz w:val="28"/>
          <w:szCs w:val="28"/>
        </w:rPr>
        <w:t xml:space="preserve">Требования к размещению камер в штабе ППЭ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В Штабе ППЭ устанавливается не менее 2 камер видеонаблюдения. Допускается использование 1 камеры видеонаблюдения, если ее технические параметры обеспечивают полный обзор помещения. Совместно в ракурс двух камер должны попадать следующие объекты наблюдения: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все помещение, наличие «слепых» зон не допускается;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входная дверь в штаб ППЭ;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место хранения экзаменационных материалов (сейф);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персональный компьютер или ноутбук, с которого осуществляется доступ к личному кабинету ППЭ;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персональный компьютер или ноутбук, с которого осуществляется доступ к Порталу;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процесс передачи экзаменационных и прочих материалов организаторами в аудитории руководителю ППЭ;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процесс сканирования экзаменационных материалов после завершения экзамена, включая компьютер с установленной станцией штаба ППЭ и сканер; </w:t>
      </w:r>
    </w:p>
    <w:p>
      <w:pPr>
        <w:pStyle w:val="Normal"/>
        <w:widowControl/>
        <w:numPr>
          <w:ilvl w:val="0"/>
          <w:numId w:val="21"/>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процесс передачи экзаменационных материалов для транспортировки в РЦОИ (для ППЭ в которых не применяется технология сканирования экзаменационных материалов после завершения экзамена) </w:t>
      </w:r>
    </w:p>
    <w:p>
      <w:pPr>
        <w:pStyle w:val="Normal"/>
        <w:numPr>
          <w:ilvl w:val="2"/>
          <w:numId w:val="1"/>
        </w:numPr>
        <w:spacing w:lineRule="auto" w:line="240" w:before="0" w:after="0"/>
        <w:ind w:firstLine="709" w:left="0" w:right="0"/>
        <w:contextualSpacing/>
        <w:jc w:val="both"/>
        <w:rPr>
          <w:rFonts w:ascii="Times New Roman" w:hAnsi="Times New Roman"/>
          <w:sz w:val="28"/>
          <w:szCs w:val="28"/>
        </w:rPr>
      </w:pPr>
      <w:bookmarkStart w:id="12" w:name="__RefHeading___Toc4200_3628426337"/>
      <w:bookmarkEnd w:id="12"/>
      <w:r>
        <w:rPr>
          <w:rFonts w:ascii="Times New Roman" w:hAnsi="Times New Roman"/>
          <w:sz w:val="28"/>
          <w:szCs w:val="28"/>
        </w:rPr>
        <w:t xml:space="preserve">Требования к размещению камер в аудиториях ППЭ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В каждой аудитории ППЭ устанавливается не менее 2 камер видеонаблюдения. Допускается использование 1 камеры видеонаблюдения, если ее технические параметры обеспечивают полный обзор помещения. Совместно в ракурс двух камер должны попадать следующие объекты наблюдения: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фронтальное изображение всех участников экзамена;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организаторы в аудитории;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номер ППЭ;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номер аудитории;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номера рабочих мест участников экзамена;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процесс печати и сканирования экзаменационных материалов (включая компьютер, принтер и сканер, при этом должен быть виден экран компьютера);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стол раскладки и последующей упаковки экзаменационных материалов; </w:t>
      </w:r>
    </w:p>
    <w:p>
      <w:pPr>
        <w:pStyle w:val="Normal"/>
        <w:widowControl/>
        <w:numPr>
          <w:ilvl w:val="0"/>
          <w:numId w:val="22"/>
        </w:numPr>
        <w:tabs>
          <w:tab w:val="clear" w:pos="708"/>
          <w:tab w:val="left" w:pos="1131"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средства подавления радиосигналов (если они установлены в аудитории).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Установка камер при которой участники экзамен видны только со спины, недопустим.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В случае установки камер, при котором одна камера обеспечивает фронтальное изображение, а вторая тыльное изображение, фронтальная камера маркируется как «Камера 1». Если обе устанавливаемые камеры обеспечивают фронтальное изображение, камера, в ракурс которой попадает наибольшее количество объектов наблюдения, нумеруется как «Камера 1». </w:t>
      </w:r>
    </w:p>
    <w:p>
      <w:pPr>
        <w:pStyle w:val="Normal"/>
        <w:numPr>
          <w:ilvl w:val="0"/>
          <w:numId w:val="0"/>
        </w:numPr>
        <w:spacing w:lineRule="auto" w:line="240" w:before="0" w:after="0"/>
        <w:ind w:hanging="0" w:left="0" w:right="0"/>
        <w:contextualSpacing/>
        <w:jc w:val="both"/>
        <w:rPr>
          <w:rFonts w:ascii="Times New Roman" w:hAnsi="Times New Roman"/>
          <w:sz w:val="28"/>
          <w:szCs w:val="28"/>
        </w:rPr>
      </w:pPr>
      <w:r>
        <w:rPr>
          <w:rFonts w:ascii="Times New Roman" w:hAnsi="Times New Roman"/>
          <w:sz w:val="28"/>
          <w:szCs w:val="28"/>
        </w:rPr>
      </w:r>
    </w:p>
    <w:p>
      <w:pPr>
        <w:pStyle w:val="Heading1"/>
        <w:numPr>
          <w:ilvl w:val="0"/>
          <w:numId w:val="0"/>
        </w:numPr>
        <w:ind w:hanging="0" w:left="720" w:right="0"/>
        <w:jc w:val="center"/>
        <w:rPr/>
      </w:pPr>
      <w:bookmarkStart w:id="13" w:name="__RefHeading___Toc4791_3628426337"/>
      <w:bookmarkEnd w:id="13"/>
      <w:r>
        <w:rPr>
          <w:rFonts w:ascii="Times New Roman" w:hAnsi="Times New Roman"/>
          <w:sz w:val="28"/>
          <w:szCs w:val="28"/>
        </w:rPr>
        <w:t xml:space="preserve">Раздел 3. Организация видеозаписи, трансляции и хранения видеоизображений. </w:t>
      </w:r>
    </w:p>
    <w:p>
      <w:pPr>
        <w:pStyle w:val="Heading1"/>
        <w:widowControl/>
        <w:numPr>
          <w:ilvl w:val="0"/>
          <w:numId w:val="0"/>
        </w:numPr>
        <w:bidi w:val="0"/>
        <w:spacing w:lineRule="auto" w:line="240" w:before="120" w:after="120"/>
        <w:ind w:firstLine="737" w:left="0" w:right="0"/>
        <w:jc w:val="both"/>
        <w:rPr/>
      </w:pPr>
      <w:bookmarkStart w:id="14" w:name="__RefHeading___Toc4793_3628426337"/>
      <w:bookmarkEnd w:id="14"/>
      <w:r>
        <w:rPr>
          <w:rFonts w:ascii="Times New Roman" w:hAnsi="Times New Roman"/>
          <w:sz w:val="28"/>
          <w:szCs w:val="28"/>
        </w:rPr>
        <w:t xml:space="preserve">3.1. Организация видеозаписи и онлайн трансляции видеоизображения на Портал. </w:t>
      </w:r>
    </w:p>
    <w:p>
      <w:pPr>
        <w:pStyle w:val="BodyText"/>
        <w:widowControl/>
        <w:bidi w:val="0"/>
        <w:spacing w:lineRule="auto" w:line="240" w:before="0" w:after="142"/>
        <w:ind w:firstLine="794" w:left="0" w:right="0"/>
        <w:contextualSpacing/>
        <w:jc w:val="left"/>
        <w:rPr>
          <w:rFonts w:ascii="Times New Roman" w:hAnsi="Times New Roman"/>
          <w:sz w:val="28"/>
          <w:szCs w:val="28"/>
        </w:rPr>
      </w:pPr>
      <w:bookmarkStart w:id="15" w:name="__RefHeading___Toc4795_3628426337"/>
      <w:bookmarkEnd w:id="15"/>
      <w:r>
        <w:rPr>
          <w:rFonts w:ascii="Times New Roman" w:hAnsi="Times New Roman"/>
          <w:sz w:val="28"/>
          <w:szCs w:val="28"/>
        </w:rPr>
        <w:t xml:space="preserve">Министерство обеспечивает передачу видеозаписей со средств видеонаблюдения, установленных в аудиториях ППЭ, штабах ППЭ в ЦОД. </w:t>
      </w:r>
    </w:p>
    <w:p>
      <w:pPr>
        <w:pStyle w:val="BodyText"/>
        <w:widowControl/>
        <w:bidi w:val="0"/>
        <w:spacing w:lineRule="auto" w:line="240" w:before="0" w:after="0"/>
        <w:ind w:firstLine="794" w:left="0" w:right="0"/>
        <w:contextualSpacing/>
        <w:jc w:val="left"/>
        <w:rPr>
          <w:rFonts w:ascii="Times New Roman" w:hAnsi="Times New Roman"/>
          <w:sz w:val="28"/>
          <w:szCs w:val="28"/>
        </w:rPr>
      </w:pPr>
      <w:bookmarkStart w:id="16" w:name="__RefHeading___Toc4797_3628426337"/>
      <w:bookmarkEnd w:id="16"/>
      <w:r>
        <w:rPr>
          <w:rFonts w:ascii="Times New Roman" w:hAnsi="Times New Roman"/>
          <w:sz w:val="28"/>
          <w:szCs w:val="28"/>
        </w:rPr>
        <w:t xml:space="preserve">Передача видеозаписей осуществляется по защищенным каналам связи с соблюдением следующих требований: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формат видео – RTSP (Real Time Streaming Protocol);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кодек видео – h264;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частота кадров – не менее 15 кадров/с;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битрейт – не менее 512 кбит/с;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размер кадра – 640x360 или 1280х960; </w:t>
      </w:r>
    </w:p>
    <w:p>
      <w:pPr>
        <w:pStyle w:val="Normal"/>
        <w:numPr>
          <w:ilvl w:val="0"/>
          <w:numId w:val="10"/>
        </w:numPr>
        <w:tabs>
          <w:tab w:val="clear" w:pos="708"/>
          <w:tab w:val="left" w:pos="1085" w:leader="none"/>
        </w:tabs>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кодек аудио – АСС.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Во всех аудиториях ППЭ, оснащенных средствами видеонаблюдения, размещается информация о том, что в данной аудитории ведется видеонаблюдение.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t xml:space="preserve">Организация видеозаписи и трансляции видеоизображения в режиме онлайн на Портале осуществляется: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b/>
          <w:sz w:val="28"/>
          <w:szCs w:val="28"/>
        </w:rPr>
        <w:t xml:space="preserve">Для штабов ППЭ: </w:t>
      </w:r>
    </w:p>
    <w:p>
      <w:pPr>
        <w:pStyle w:val="Normal"/>
        <w:widowControl/>
        <w:numPr>
          <w:ilvl w:val="0"/>
          <w:numId w:val="23"/>
        </w:numPr>
        <w:tabs>
          <w:tab w:val="clear" w:pos="708"/>
          <w:tab w:val="left" w:pos="-231" w:leader="none"/>
          <w:tab w:val="left" w:pos="108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время начала видеозаписи и онлайн трансляции на Портал – 07:30 (время местное) дня проведения экзамена в соответствии с утвержденным расписанием; </w:t>
      </w:r>
    </w:p>
    <w:p>
      <w:pPr>
        <w:pStyle w:val="Normal"/>
        <w:widowControl/>
        <w:numPr>
          <w:ilvl w:val="0"/>
          <w:numId w:val="23"/>
        </w:numPr>
        <w:tabs>
          <w:tab w:val="clear" w:pos="708"/>
          <w:tab w:val="left" w:pos="-231" w:leader="none"/>
          <w:tab w:val="left" w:pos="1085" w:leader="none"/>
        </w:tabs>
        <w:bidi w:val="0"/>
        <w:spacing w:lineRule="auto" w:line="240" w:before="0" w:after="0"/>
        <w:ind w:firstLine="680" w:left="0" w:right="0"/>
        <w:contextualSpacing/>
        <w:jc w:val="both"/>
        <w:rPr>
          <w:rFonts w:ascii="Times New Roman" w:hAnsi="Times New Roman"/>
          <w:sz w:val="28"/>
          <w:szCs w:val="28"/>
        </w:rPr>
      </w:pPr>
      <w:r>
        <w:rPr>
          <w:rFonts w:ascii="Times New Roman" w:hAnsi="Times New Roman"/>
          <w:sz w:val="28"/>
          <w:szCs w:val="28"/>
        </w:rPr>
        <w:t xml:space="preserve">время окончания видеозаписи и онлайн трансляции на Портал – 19:00 (время местное) дня проведения экзамена в соответствии с утвержденным расписанием или до фактического окончания обработки экзаменационных материалов в штабе ППЭ.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b/>
          <w:sz w:val="28"/>
          <w:szCs w:val="28"/>
        </w:rPr>
        <w:t xml:space="preserve">Для аудиторий ППЭ: </w:t>
      </w:r>
    </w:p>
    <w:p>
      <w:pPr>
        <w:pStyle w:val="Normal"/>
        <w:widowControl/>
        <w:numPr>
          <w:ilvl w:val="0"/>
          <w:numId w:val="24"/>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время начала видеозаписи и онлайн трансляции на Портал – 08:00 (время местное) дня проведения экзамена в соответствии с утвержденным расписанием; </w:t>
      </w:r>
    </w:p>
    <w:p>
      <w:pPr>
        <w:pStyle w:val="Normal"/>
        <w:widowControl/>
        <w:numPr>
          <w:ilvl w:val="0"/>
          <w:numId w:val="24"/>
        </w:numPr>
        <w:tabs>
          <w:tab w:val="clear" w:pos="708"/>
          <w:tab w:val="left" w:pos="1015" w:leader="none"/>
        </w:tabs>
        <w:bidi w:val="0"/>
        <w:spacing w:lineRule="auto" w:line="240" w:before="0" w:after="0"/>
        <w:ind w:firstLine="737" w:left="0" w:right="0"/>
        <w:contextualSpacing/>
        <w:jc w:val="both"/>
        <w:rPr>
          <w:rFonts w:ascii="Times New Roman" w:hAnsi="Times New Roman"/>
          <w:sz w:val="28"/>
          <w:szCs w:val="28"/>
        </w:rPr>
      </w:pPr>
      <w:r>
        <w:rPr>
          <w:rFonts w:ascii="Times New Roman" w:hAnsi="Times New Roman"/>
          <w:sz w:val="28"/>
          <w:szCs w:val="28"/>
        </w:rPr>
        <w:t xml:space="preserve">время окончания видеозаписи и онлайн трансляции на Портал – 17:00 (время местное) дня проведения экзамена в соответствии с утвержденным расписанием или до завершения зачитывания организатором в аудитории данных протокола о проведении экзамена в аудитории (форма ППЭ-05-02).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b/>
          <w:sz w:val="28"/>
        </w:rPr>
        <w:t>Организация видеонаблюдения в ППЭ.</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Не позднее 17:00 по местному времени календарного дня, предшествующего экзамену, в ППЭ технический специалист совместно с руководителем ППЭ проводят визуальный осмотр средств видеонаблюдения. После завершения осмотра руководитель ППЭ в Акте готовности ППЭ (форма ППЭ-01) делает отметку о том, что ППЭ оборудован средствами видеонаблюдения. Если в ППЭ не установлены (или неисправны) средства видеонаблюдения, руководитель ППЭ незамедлительно сообщает об этом региональному координатору.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 день проведения экзамена руководитель ППЭ дает указание техническому специалисту произвести включение режима записи в Штабе ППЭ и аудиториях ППЭ, проверить работоспособность средств видеонаблюдения в Штабе ППЭ и во всех аудиториях ППЭ, задействованных в конкретный день проведения ЕГЭ.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Перед началом экзамена технический специалист проверяет, что режим записи включен и ракурс камер (-ы) соответствует настоящим инструкциям. Контроль за фактом ведения видео и звукозаписи во время проведения экзамена осуществляется техническим специалистом посредством функционала Портала и (или) CCTV-решения в Штабе ППЭ.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 окончании экзамена в аудитории руководитель ППЭ дает техническому специалисту указание выключить режим записи. После окончания экзамена технический специалист обязан визуально проверить работоспособность средств видеонаблюдения во всех аудиториях ППЭ. После окончания каждого периода проведения ЕГЭ (в соответствии с утвержденным расписанием экзаменов) технический специалист осуществляет выключение средств видеонаблюдения по согласованию с региональным координатором.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в аудитории или технический специалист информирует члена ГЭК о возникших проблемах.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Ответственность за дальнейшие действия возлагается на члена ГЭК.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Член ГЭК связывается с Оператором (самостоятельно или при помощи технического специалиста), получает инструкции по осуществлению действий для восстановления работы средств видеонаблюдения. Если в течение 15 минут после получения инструкции не удается восстановить работоспособность средств видеонаблюдения, член ГЭК по согласованию с председателем ГЭК останавливает экзамен в ППЭ или отдельных аудиториях ППЭ в соответствии с пунктом 39 Порядка. По факту неисправного состояния, отключения средств видеонаблюдения или отсутствия видеозаписи экзамена членом ГЭК составляется акт (Приложение 1), который в тот же день передается председателю ГЭК.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Технический специалист совместно с Оператором производят работу по восстановлению работоспособности средств видеонаблюдения. </w:t>
      </w:r>
    </w:p>
    <w:p>
      <w:pPr>
        <w:pStyle w:val="Heading2"/>
        <w:widowControl/>
        <w:numPr>
          <w:ilvl w:val="0"/>
          <w:numId w:val="0"/>
        </w:numPr>
        <w:bidi w:val="0"/>
        <w:spacing w:lineRule="auto" w:line="240" w:before="120" w:after="120"/>
        <w:ind w:firstLine="567" w:left="0" w:right="0"/>
        <w:jc w:val="both"/>
        <w:rPr/>
      </w:pPr>
      <w:bookmarkStart w:id="17" w:name="__RefHeading___Toc4206_3628426337"/>
      <w:bookmarkEnd w:id="17"/>
      <w:r>
        <w:rPr>
          <w:rFonts w:ascii="Times New Roman" w:hAnsi="Times New Roman"/>
        </w:rPr>
        <w:t>3.2. О</w:t>
      </w:r>
      <w:r>
        <w:rPr/>
        <w:t xml:space="preserve">рганизация видеозаписи в офлайн ППЭ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Организация видеозаписи осуществляется: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b/>
          <w:sz w:val="28"/>
        </w:rPr>
        <w:t xml:space="preserve">Для штабов ППЭ: </w:t>
      </w:r>
    </w:p>
    <w:p>
      <w:pPr>
        <w:pStyle w:val="Normal"/>
        <w:widowControl/>
        <w:numPr>
          <w:ilvl w:val="0"/>
          <w:numId w:val="25"/>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sz w:val="28"/>
        </w:rPr>
        <w:t xml:space="preserve">время начала видеозаписи – 07:30 (время местное) дня проведения экзамена в соответствии с утвержденным расписанием; </w:t>
      </w:r>
    </w:p>
    <w:p>
      <w:pPr>
        <w:pStyle w:val="Normal"/>
        <w:widowControl/>
        <w:numPr>
          <w:ilvl w:val="0"/>
          <w:numId w:val="25"/>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sz w:val="28"/>
        </w:rPr>
        <w:t xml:space="preserve">время окончания видеозаписи – 19:00 (время местное) дня проведения экзамена в соответствии с утвержденным расписанием или до времени фактического окончания обработки экзаменационных материалов в штабе ППЭ. </w:t>
      </w:r>
    </w:p>
    <w:p>
      <w:pPr>
        <w:pStyle w:val="Normal"/>
        <w:widowControl/>
        <w:numPr>
          <w:ilvl w:val="0"/>
          <w:numId w:val="25"/>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b/>
          <w:sz w:val="28"/>
        </w:rPr>
        <w:t xml:space="preserve">Для аудиторий ППЭ: </w:t>
      </w:r>
    </w:p>
    <w:p>
      <w:pPr>
        <w:pStyle w:val="Normal"/>
        <w:widowControl/>
        <w:numPr>
          <w:ilvl w:val="0"/>
          <w:numId w:val="25"/>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sz w:val="28"/>
        </w:rPr>
        <w:t xml:space="preserve">время начала видеозаписи – 08:00 (время местное) дня проведения экзамена в соответствии с утвержденным расписанием; </w:t>
      </w:r>
    </w:p>
    <w:p>
      <w:pPr>
        <w:pStyle w:val="Normal"/>
        <w:widowControl/>
        <w:numPr>
          <w:ilvl w:val="0"/>
          <w:numId w:val="25"/>
        </w:numPr>
        <w:tabs>
          <w:tab w:val="clear" w:pos="708"/>
          <w:tab w:val="left" w:pos="1015" w:leader="none"/>
        </w:tabs>
        <w:bidi w:val="0"/>
        <w:spacing w:lineRule="auto" w:line="240" w:before="0" w:after="0"/>
        <w:ind w:firstLine="737" w:left="0" w:right="0"/>
        <w:contextualSpacing/>
        <w:jc w:val="both"/>
        <w:rPr>
          <w:rFonts w:ascii="Times New Roman" w:hAnsi="Times New Roman"/>
        </w:rPr>
      </w:pPr>
      <w:r>
        <w:rPr>
          <w:rFonts w:ascii="Times New Roman" w:hAnsi="Times New Roman"/>
          <w:sz w:val="28"/>
        </w:rPr>
        <w:t xml:space="preserve">время окончания видеозаписи – 17:00 (время местное) дня проведения экзамена в соответствии с утвержденным расписанием или до времени завершения зачитывания организатором в аудитории данных протокола о проведении экзамена в аудитории (форма ППЭ-05-02).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 день проведения экзамена руководитель ППЭ дает указание техническому специалисту произвести включение режима записи в Штабе ППЭ и аудиториях ППЭ, проверить работоспособность средств видеонаблюдения в Штабе ППЭ и во всех аудиториях ППЭ, задействованных в конкретный день проведения ЕГЭ.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Перед началом экзамена технический специалист проверяет, что режим записи включен и ракурс камер (ы) соответствует настоящим инструкциям. Контроль за фактом ведения видео и звукозаписи во время проведения экзамена осуществляется техническим специалистом посредством функционала Портала и (или) CCTV-решения в Штабе ППЭ.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 окончании экзамена в аудитории руководитель ППЭ дает техническому специалисту указание выключить режим записи. После окончания экзамена технический специалист обязан визуально проверить работоспособность средств видеонаблюдения во всех аудиториях ППЭ.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в аудитории или технический специалист информирует члена ГЭК о возникших проблемах. Ответственность за дальнейшие действия возлагается на члена ГЭК. По факту неисправного состояния, отключения средств видеонаблюдения или отсутствия видеозаписи экзамена членом ГЭК составляется акт (Приложение 1), который в тот же день передается председателю ГЭК. </w:t>
      </w:r>
    </w:p>
    <w:p>
      <w:pPr>
        <w:pStyle w:val="Normal"/>
        <w:spacing w:lineRule="auto" w:line="240" w:before="0" w:after="0"/>
        <w:ind w:firstLine="709" w:left="0" w:right="0"/>
        <w:contextualSpacing/>
        <w:jc w:val="both"/>
        <w:rPr>
          <w:rFonts w:ascii="Times New Roman" w:hAnsi="Times New Roman"/>
          <w:sz w:val="28"/>
          <w:szCs w:val="28"/>
        </w:rPr>
      </w:pPr>
      <w:r>
        <w:rPr>
          <w:rFonts w:ascii="Times New Roman" w:hAnsi="Times New Roman"/>
          <w:sz w:val="28"/>
          <w:szCs w:val="28"/>
        </w:rPr>
      </w:r>
    </w:p>
    <w:p>
      <w:pPr>
        <w:pStyle w:val="Heading1"/>
        <w:jc w:val="center"/>
        <w:rPr>
          <w:rFonts w:ascii="Times New Roman" w:hAnsi="Times New Roman"/>
          <w:sz w:val="28"/>
          <w:szCs w:val="28"/>
        </w:rPr>
      </w:pPr>
      <w:r>
        <w:rPr>
          <w:rFonts w:ascii="Times New Roman" w:hAnsi="Times New Roman"/>
          <w:sz w:val="28"/>
          <w:szCs w:val="28"/>
        </w:rPr>
      </w:r>
    </w:p>
    <w:p>
      <w:pPr>
        <w:pStyle w:val="Heading1"/>
        <w:jc w:val="center"/>
        <w:rPr>
          <w:rFonts w:ascii="Times New Roman" w:hAnsi="Times New Roman"/>
          <w:sz w:val="28"/>
          <w:szCs w:val="28"/>
        </w:rPr>
      </w:pPr>
      <w:bookmarkStart w:id="18" w:name="__RefHeading___Toc4208_3628426337"/>
      <w:bookmarkEnd w:id="18"/>
      <w:r>
        <w:rPr>
          <w:rFonts w:ascii="Times New Roman" w:hAnsi="Times New Roman"/>
          <w:sz w:val="28"/>
          <w:szCs w:val="28"/>
        </w:rPr>
        <w:t xml:space="preserve">Раздел 4. Тестирование системы видеонаблюдения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Тестирования системы видеонаблюдения осуществляется в</w:t>
      </w:r>
      <w:r>
        <w:rPr>
          <w:rFonts w:ascii="Times New Roman" w:hAnsi="Times New Roman"/>
          <w:b/>
          <w:sz w:val="28"/>
        </w:rPr>
        <w:t xml:space="preserve"> </w:t>
      </w:r>
      <w:r>
        <w:rPr>
          <w:rFonts w:ascii="Times New Roman" w:hAnsi="Times New Roman"/>
          <w:sz w:val="28"/>
        </w:rPr>
        <w:t xml:space="preserve">ППЭ: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актуальности версий программного обеспечения. Перечень актуальных версий программного обеспечения и программных продуктов указывается в плане тестирования системы видеонаблюдения перед соответствующим периодом проведения экзаменов. План тестирования, согласованный Рособрнадзором, размещается на Портале в разделе «Тестирование»;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источников бесперебойного питания </w:t>
        <w:tab/>
        <w:t xml:space="preserve">на предмет </w:t>
        <w:tab/>
        <w:t xml:space="preserve">обеспечения функционирование средств видеонаблюдения при отключении внешнего электропитания в течение не менее 20 минут. Источники бесперебойного питания, не соответствующие указанным параметрам, рекомендуются к замене;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наличия трансляции видео и звука посредством функционала Портала;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соответствия ракурсов установленных видеокамер настоящим инструкциям;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корректности часового пояса объекта по отношению к московскому времени;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корректности отображения кодов аудиторий и кода ППЭ (коды аудиторий и ППЭ должны совпадать с кодами, внесенными в РИС);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проверка корректности адреса ППЭ и отображения объекта на карте; </w:t>
      </w:r>
    </w:p>
    <w:p>
      <w:pPr>
        <w:pStyle w:val="Normal"/>
        <w:numPr>
          <w:ilvl w:val="0"/>
          <w:numId w:val="11"/>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отработка тестовой отметки о нарушения Порядка с использованием функционала Портала. </w:t>
      </w:r>
    </w:p>
    <w:p>
      <w:pPr>
        <w:pStyle w:val="Normal"/>
        <w:spacing w:lineRule="auto" w:line="240" w:before="0" w:after="0"/>
        <w:ind w:firstLine="709" w:left="0" w:right="0"/>
        <w:contextualSpacing/>
        <w:jc w:val="both"/>
        <w:rPr>
          <w:rFonts w:ascii="Times New Roman" w:hAnsi="Times New Roman"/>
          <w:sz w:val="28"/>
        </w:rPr>
      </w:pPr>
      <w:r>
        <w:rPr>
          <w:rFonts w:ascii="Times New Roman" w:hAnsi="Times New Roman"/>
          <w:sz w:val="28"/>
        </w:rPr>
      </w:r>
    </w:p>
    <w:p>
      <w:pPr>
        <w:pStyle w:val="Heading1"/>
        <w:jc w:val="center"/>
        <w:rPr>
          <w:rFonts w:ascii="Times New Roman" w:hAnsi="Times New Roman"/>
          <w:sz w:val="28"/>
          <w:szCs w:val="28"/>
        </w:rPr>
      </w:pPr>
      <w:bookmarkStart w:id="19" w:name="__RefHeading___Toc4210_3628426337"/>
      <w:bookmarkEnd w:id="19"/>
      <w:r>
        <w:rPr>
          <w:rFonts w:ascii="Times New Roman" w:hAnsi="Times New Roman"/>
          <w:sz w:val="28"/>
          <w:szCs w:val="28"/>
        </w:rPr>
        <w:t xml:space="preserve">Раздел 5. Организация доступа к Порталу и порядок </w:t>
        <w:br/>
        <w:t xml:space="preserve">работы с нарушениями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На Портале реализован сервис, позволяющий ставить отметки о нарушениях (далее – «метка») на временных отрезках трансляции, в которых, по мнению наблюдателя, имеют место признаки нарушения Порядка. Данные «метки» направляются на верификацию (далее – модерация) Пользователю Портала с категорией «Модератор». В случае подтверждения Модератором наличия нарушения Порядка «метки» размещаются в раздел «Нарушения», подраздел «Отработка нарушений». </w:t>
      </w:r>
    </w:p>
    <w:p>
      <w:pPr>
        <w:pStyle w:val="Heading2"/>
        <w:widowControl/>
        <w:bidi w:val="0"/>
        <w:spacing w:lineRule="auto" w:line="240" w:before="120" w:after="120"/>
        <w:ind w:firstLine="794" w:left="0" w:right="0"/>
        <w:jc w:val="both"/>
        <w:rPr>
          <w:rFonts w:ascii="Times New Roman" w:hAnsi="Times New Roman"/>
        </w:rPr>
      </w:pPr>
      <w:bookmarkStart w:id="20" w:name="__RefHeading___Toc4802_3628426337"/>
      <w:bookmarkEnd w:id="20"/>
      <w:r>
        <w:rPr>
          <w:rFonts w:ascii="Times New Roman" w:hAnsi="Times New Roman"/>
          <w:b/>
          <w:sz w:val="28"/>
        </w:rPr>
        <w:t xml:space="preserve">5.1. Работа с информацией о нарушении, поступившей в ППЭ во время проведения экзамена.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«Метки» нарушений, прошедшие модерацию в день проведения экзамена с 08:00 до времени простановки в системе мониторинга готовности ППЭ отметки «Экзамен завершен», но не позднее 15:00 (время указано местное), отрабатываются в ППЭ Пользователем Портала с категорией «Сотрудник ППЭ».</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Работа с «метками» нарушений производится на персональном компьютере или ноутбуке, находящемся в штабе ППЭ и подключенном к сети «Интернет», используя функционал Портала. Для авторизации на Портале необходимо ввести логин и пароль, предназначенный для конкретного ППЭ, и пройти двухфакторную аутентификацию.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 ходе проведения экзамена необходимо постоянно проводить мониторинг поступающей в ППЭ информации о «метках» нарушений. К мониторингу поступающей информации о возможных нарушениях рекомендуется привлекать члена ГЭК, поскольку он является лицом, имеющим право предпринять соответствующие действия по пресечению или устранению выявленных нарушений Порядка.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 поступлении в ППЭ информации о «метке» нарушения необходимо: </w:t>
      </w:r>
    </w:p>
    <w:p>
      <w:pPr>
        <w:pStyle w:val="Normal"/>
        <w:numPr>
          <w:ilvl w:val="0"/>
          <w:numId w:val="26"/>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просмотреть видеозапись нарушения, чтобы убедиться в достоверности поступивших сведений; </w:t>
      </w:r>
    </w:p>
    <w:p>
      <w:pPr>
        <w:pStyle w:val="Normal"/>
        <w:numPr>
          <w:ilvl w:val="0"/>
          <w:numId w:val="26"/>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незамедлительно предпринять действия по пресечению нарушения; </w:t>
      </w:r>
    </w:p>
    <w:p>
      <w:pPr>
        <w:pStyle w:val="Normal"/>
        <w:numPr>
          <w:ilvl w:val="0"/>
          <w:numId w:val="26"/>
        </w:numPr>
        <w:tabs>
          <w:tab w:val="clear" w:pos="708"/>
          <w:tab w:val="left" w:pos="1015"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внести информацию о результатах отработки «метки» нарушения и принятых мерах в карточку нарушения на Портале (выбрать из предложенных интерфейсом вариантов отработки нарушения): </w:t>
      </w:r>
    </w:p>
    <w:p>
      <w:pPr>
        <w:pStyle w:val="Normal"/>
        <w:numPr>
          <w:ilvl w:val="1"/>
          <w:numId w:val="26"/>
        </w:numPr>
        <w:spacing w:lineRule="auto" w:line="240" w:before="0" w:after="0"/>
        <w:ind w:firstLine="709" w:left="0" w:right="0"/>
        <w:contextualSpacing/>
        <w:jc w:val="both"/>
        <w:rPr>
          <w:rFonts w:ascii="Times New Roman" w:hAnsi="Times New Roman"/>
        </w:rPr>
      </w:pPr>
      <w:r>
        <w:rPr>
          <w:rFonts w:ascii="Times New Roman" w:hAnsi="Times New Roman"/>
          <w:sz w:val="28"/>
        </w:rPr>
        <w:t xml:space="preserve">не подтвердилось; </w:t>
      </w:r>
    </w:p>
    <w:p>
      <w:pPr>
        <w:pStyle w:val="Normal"/>
        <w:numPr>
          <w:ilvl w:val="1"/>
          <w:numId w:val="26"/>
        </w:numPr>
        <w:spacing w:lineRule="auto" w:line="240" w:before="0" w:after="0"/>
        <w:ind w:firstLine="709" w:left="0" w:right="0"/>
        <w:contextualSpacing/>
        <w:jc w:val="both"/>
        <w:rPr>
          <w:rFonts w:ascii="Times New Roman" w:hAnsi="Times New Roman"/>
        </w:rPr>
      </w:pPr>
      <w:r>
        <w:rPr>
          <w:rFonts w:ascii="Times New Roman" w:hAnsi="Times New Roman"/>
          <w:sz w:val="28"/>
        </w:rPr>
        <w:t xml:space="preserve">участник предупрежден; </w:t>
      </w:r>
    </w:p>
    <w:p>
      <w:pPr>
        <w:pStyle w:val="Normal"/>
        <w:numPr>
          <w:ilvl w:val="1"/>
          <w:numId w:val="26"/>
        </w:numPr>
        <w:spacing w:lineRule="auto" w:line="240" w:before="0" w:after="0"/>
        <w:ind w:firstLine="709" w:left="0" w:right="0"/>
        <w:contextualSpacing/>
        <w:jc w:val="both"/>
        <w:rPr>
          <w:rFonts w:ascii="Times New Roman" w:hAnsi="Times New Roman"/>
        </w:rPr>
      </w:pPr>
      <w:r>
        <w:rPr>
          <w:rFonts w:ascii="Times New Roman" w:hAnsi="Times New Roman"/>
          <w:sz w:val="28"/>
        </w:rPr>
        <w:t xml:space="preserve">участник удален; </w:t>
      </w:r>
    </w:p>
    <w:p>
      <w:pPr>
        <w:pStyle w:val="Normal"/>
        <w:numPr>
          <w:ilvl w:val="1"/>
          <w:numId w:val="26"/>
        </w:numPr>
        <w:spacing w:lineRule="auto" w:line="240" w:before="0" w:after="0"/>
        <w:ind w:firstLine="709" w:left="0" w:right="0"/>
        <w:contextualSpacing/>
        <w:jc w:val="both"/>
        <w:rPr>
          <w:rFonts w:ascii="Times New Roman" w:hAnsi="Times New Roman"/>
        </w:rPr>
      </w:pPr>
      <w:r>
        <w:rPr>
          <w:rFonts w:ascii="Times New Roman" w:hAnsi="Times New Roman"/>
          <w:sz w:val="28"/>
        </w:rPr>
        <w:t xml:space="preserve"> </w:t>
      </w:r>
      <w:r>
        <w:rPr>
          <w:rFonts w:ascii="Times New Roman" w:hAnsi="Times New Roman"/>
          <w:sz w:val="28"/>
        </w:rPr>
        <w:t xml:space="preserve">отработано.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Вариант «отработано» применяется только для следующих типов нарушений: </w:t>
      </w:r>
    </w:p>
    <w:p>
      <w:pPr>
        <w:pStyle w:val="Normal"/>
        <w:numPr>
          <w:ilvl w:val="1"/>
          <w:numId w:val="12"/>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камера;  </w:t>
      </w:r>
    </w:p>
    <w:p>
      <w:pPr>
        <w:pStyle w:val="Normal"/>
        <w:numPr>
          <w:ilvl w:val="1"/>
          <w:numId w:val="12"/>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организатор; </w:t>
      </w:r>
    </w:p>
    <w:p>
      <w:pPr>
        <w:pStyle w:val="Normal"/>
        <w:numPr>
          <w:ilvl w:val="1"/>
          <w:numId w:val="12"/>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 </w:t>
      </w:r>
      <w:r>
        <w:rPr>
          <w:rFonts w:ascii="Times New Roman" w:hAnsi="Times New Roman"/>
          <w:sz w:val="28"/>
        </w:rPr>
        <w:t xml:space="preserve">посторонние; </w:t>
      </w:r>
    </w:p>
    <w:p>
      <w:pPr>
        <w:pStyle w:val="Normal"/>
        <w:numPr>
          <w:ilvl w:val="1"/>
          <w:numId w:val="12"/>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 </w:t>
      </w:r>
      <w:r>
        <w:rPr>
          <w:rFonts w:ascii="Times New Roman" w:hAnsi="Times New Roman"/>
          <w:sz w:val="28"/>
        </w:rPr>
        <w:t xml:space="preserve">прочие.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После завершения отработки «метки» нарушения в ППЭ, результаты отработки направляются Пользователям Портала с ролью «Сотрудник ОИВ» для проверки корректности и полноты отработки «метки» нарушения.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Общее количество времени, затраченного на первичный процесс отработки «метки» нарушений в дни проведения экзаменов, не должен превышать 20 (двадцать) минут. Под общим количеством времени понимается время от момента подтверждения «Модератором» «метки» нарушения, до момента проставления Пользователем с ролью «Сотрудник ОИВ» отметки о корректности отработки нарушения. В случае однократного возвращения «метки» нарушения на отработку в ППЭ, на повторную отработку выделяется дополнительные 20 минут. Дополнительные 20 минут рассчитываются от момента возврата «метки» нарушения в ППЭ, до момента проставления Пользователем с ролью «Сотрудник ОИВ» отметки о корректности отработки нарушения. При последующих возвратах «метки» нарушения на отработку в ППЭ дополнительное время не выделяется и нарушение считается отработанным с нарушением регламентированных сроков.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ППЭ, за исключением офлайн ППЭ, отрабатывают метки о нарушениях, поступившие в день проведения экзамена с 08:00 до времени простановки в системе мониторинга готовности ППЭ отметки «Экзамен завершен», но не позднее 15:00 (время указано местное). Нарушения, зафиксированные вне указанного временного диапазона, а также нарушения, зафиксированные между днями проведения экзаменов (офлайн метки нарушения), отрабатываются ответственным сотрудником ОИВ, имеющим категорию на Портале «ОИВ Отработка нарушений» (для ППЭ расположенных на территории Российской Федерации) и пользователем, имеющим категорию на Портале «Сотрудник ППЭ ЗОО» (для ППЭ расположенных за пределами территории Российской Федерации).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После завершения всех процедур в ППЭ, но до простановки в системе мониторинга готовности ППЭ отметки «Экзамен завершен» руководителю ППЭ рекомендуется произвести проверку информации на Портале на предмет отсутствия поступивших на отработку в ППЭ «меток» нарушений. </w:t>
      </w:r>
    </w:p>
    <w:p>
      <w:pPr>
        <w:pStyle w:val="Normal"/>
        <w:spacing w:lineRule="auto" w:line="240" w:before="0" w:after="0"/>
        <w:ind w:firstLine="709" w:left="0" w:right="0"/>
        <w:contextualSpacing/>
        <w:jc w:val="both"/>
        <w:rPr>
          <w:b/>
          <w:sz w:val="28"/>
        </w:rPr>
      </w:pPr>
      <w:r>
        <w:rPr>
          <w:b/>
          <w:sz w:val="28"/>
        </w:rPr>
      </w:r>
    </w:p>
    <w:p>
      <w:pPr>
        <w:pStyle w:val="Heading2"/>
        <w:widowControl/>
        <w:bidi w:val="0"/>
        <w:spacing w:lineRule="auto" w:line="240" w:before="120" w:after="120"/>
        <w:ind w:firstLine="737" w:left="0" w:right="0"/>
        <w:jc w:val="both"/>
        <w:rPr>
          <w:rFonts w:ascii="Times New Roman" w:hAnsi="Times New Roman"/>
        </w:rPr>
      </w:pPr>
      <w:bookmarkStart w:id="21" w:name="__RefHeading___Toc4804_3628426337"/>
      <w:bookmarkEnd w:id="21"/>
      <w:r>
        <w:rPr>
          <w:rFonts w:ascii="Times New Roman" w:hAnsi="Times New Roman"/>
          <w:b/>
          <w:sz w:val="28"/>
        </w:rPr>
        <w:t>5.2. Работа с информацией о нарушении, зафиксированном вне времени проведения экзамена (офлайн «метки»).</w:t>
      </w:r>
      <w:r>
        <w:rPr>
          <w:rFonts w:ascii="Times New Roman" w:hAnsi="Times New Roman"/>
          <w:sz w:val="28"/>
        </w:rPr>
        <w:t xml:space="preserve">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«Метки» нарушений, отмеченные в процессе просмотра видеозаписей из офлайн ППЭ, либо поступившие в день проведения экзамена после простановки в системе мониторинга готовности ППЭ отметки «Экзамен завершен», а также нарушения, зафиксированные между днями проведения экзаменов (офлайн «метки» нарушения), отрабатываются ответственным сотрудником ОИВ, имеющим категорию на Портале «ОИВ Отработка нарушений» (для ППЭ, расположенных на территории Российской Федерации) или пользователем, имеющим категорию на Портале «Сотрудник ППЭ ЗОО» (для ППЭ, расположенных за пределами территории Российской Федерации).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Рекомендуется регулярно проводить мониторинг информации об офлайн «метках» нарушений, поступающей ответственным сотрудникам ОИВ, имеющим категорию на Портале «ОИВ Отработка нарушений» (для ППЭ расположенных на территории Российской Федерации) или пользователям, имеющим категорию на Портале «Сотрудник ППЭ ЗОО» (для ППЭ расположенных за пределами территории Российской Федерации).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 поступлении информации об офлайн «метке» нарушения необходимо: </w:t>
      </w:r>
    </w:p>
    <w:p>
      <w:pPr>
        <w:pStyle w:val="Normal"/>
        <w:numPr>
          <w:ilvl w:val="0"/>
          <w:numId w:val="13"/>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просмотреть видеозапись нарушения, чтобы убедиться в достоверности поступивших сведений; </w:t>
      </w:r>
    </w:p>
    <w:p>
      <w:pPr>
        <w:pStyle w:val="Normal"/>
        <w:numPr>
          <w:ilvl w:val="0"/>
          <w:numId w:val="13"/>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предпринять действия по отработке нарушения; </w:t>
      </w:r>
    </w:p>
    <w:p>
      <w:pPr>
        <w:pStyle w:val="Normal"/>
        <w:numPr>
          <w:ilvl w:val="0"/>
          <w:numId w:val="13"/>
        </w:numPr>
        <w:tabs>
          <w:tab w:val="clear" w:pos="708"/>
          <w:tab w:val="left" w:pos="1131"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внести информацию о результатах отработки «метки» нарушения и принятых мерах в карточку нарушения на Портале (выбрать из предложенных интерфейсом вариантов отработки нарушения): </w:t>
      </w:r>
    </w:p>
    <w:p>
      <w:pPr>
        <w:pStyle w:val="Normal"/>
        <w:numPr>
          <w:ilvl w:val="1"/>
          <w:numId w:val="14"/>
        </w:numPr>
        <w:tabs>
          <w:tab w:val="clear" w:pos="708"/>
          <w:tab w:val="left" w:pos="969"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не подтвердилось; </w:t>
      </w:r>
    </w:p>
    <w:p>
      <w:pPr>
        <w:pStyle w:val="Normal"/>
        <w:numPr>
          <w:ilvl w:val="1"/>
          <w:numId w:val="14"/>
        </w:numPr>
        <w:tabs>
          <w:tab w:val="clear" w:pos="708"/>
          <w:tab w:val="left" w:pos="969"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принято в работу; </w:t>
      </w:r>
    </w:p>
    <w:p>
      <w:pPr>
        <w:pStyle w:val="Normal"/>
        <w:numPr>
          <w:ilvl w:val="1"/>
          <w:numId w:val="14"/>
        </w:numPr>
        <w:tabs>
          <w:tab w:val="clear" w:pos="708"/>
          <w:tab w:val="left" w:pos="969" w:leader="none"/>
        </w:tabs>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принято решение ГЭК.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После завершения отработки офлайн «метки» нарушения Пользователем Портала с категорией «ОИВ отработка нарушений» дальнейшая проверка корректности отработки не требуется.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После завершения отработки офлайн «метки» нарушения в ППЭ, расположенном за пределами территории Российской Федерации, результаты отработки направляются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 xml:space="preserve">Пользователю Портала с ролью «ФЦТ» для проверки корректности и полноты отработки офлайн «метки» нарушения. Для проверки отработки Пользователь Портала с ролью «ФЦТ» авторизуется на Портале и переходит в подраздел «Проверка отработки» раздела «Нарушения», просматривает видеозапись зафиксированного нарушения, анализирует информацию указанную «Сотрудником ППЭ ЗОО» на предмет корректности отработки «метки» нарушения. Если «метка» нарушения отработана корректно, Пользователь Портала с ролью «ФЦТ» ставит отметку «Принять». Если «метка» нарушения отработана некорректно, Пользователь Портала с ролью «ФЦТ» ставит отметку «Вернуть в ППЭ». Если «метка» нарушения возвращена на повторную отработку в ППЭ, Пользователи с ролями «Сотрудник ППЭ ЗОО» и «ФЦТ» производят те же действия, что и при первичном поступлении офлайн «метки» на отработку. Количество возвратов офлайн «метки» на повторную отработку в ППЭ не ограничено. </w:t>
      </w:r>
    </w:p>
    <w:p>
      <w:pPr>
        <w:pStyle w:val="Normal"/>
        <w:spacing w:lineRule="auto" w:line="240" w:before="0" w:after="0"/>
        <w:ind w:firstLine="709" w:left="0" w:right="0"/>
        <w:contextualSpacing/>
        <w:jc w:val="both"/>
        <w:rPr>
          <w:rFonts w:ascii="Times New Roman" w:hAnsi="Times New Roman"/>
        </w:rPr>
      </w:pPr>
      <w:r>
        <w:rPr>
          <w:rFonts w:ascii="Times New Roman" w:hAnsi="Times New Roman"/>
          <w:sz w:val="28"/>
        </w:rPr>
        <w:t>Общее количество времени, затраченного на процесс отработки офлайн «метки» нарушения, не должен превышать 3 (трех) рабочих дней с даты получения уведомления о фиксации офлайн «метки» нарушения</w:t>
      </w:r>
      <w:r>
        <w:rPr>
          <w:rStyle w:val="FootnoteReference"/>
          <w:rFonts w:ascii="Times New Roman" w:hAnsi="Times New Roman"/>
          <w:sz w:val="28"/>
          <w:vertAlign w:val="superscript"/>
        </w:rPr>
        <w:footnoteReference w:id="2"/>
      </w:r>
      <w:r>
        <w:rPr>
          <w:rFonts w:ascii="Times New Roman" w:hAnsi="Times New Roman"/>
          <w:sz w:val="28"/>
        </w:rPr>
        <w:t xml:space="preserve">. В случае превышения вышеуказанного времени, затраченного на процесс отработки офлайн «метки» нарушение считается отработанным с нарушением регламентированных сроков. </w:t>
      </w:r>
    </w:p>
    <w:p>
      <w:pPr>
        <w:pStyle w:val="Normal"/>
        <w:spacing w:lineRule="auto" w:line="240" w:before="0" w:after="0"/>
        <w:ind w:hanging="0" w:left="708" w:right="0"/>
        <w:contextualSpacing/>
        <w:jc w:val="both"/>
        <w:rPr>
          <w:rFonts w:ascii="Times New Roman" w:hAnsi="Times New Roman"/>
        </w:rPr>
      </w:pPr>
      <w:r>
        <w:rPr>
          <w:rFonts w:ascii="Times New Roman" w:hAnsi="Times New Roman"/>
          <w:sz w:val="28"/>
        </w:rPr>
        <w:t xml:space="preserve"> </w:t>
      </w:r>
    </w:p>
    <w:p>
      <w:pPr>
        <w:pStyle w:val="Normal"/>
        <w:spacing w:lineRule="auto" w:line="264" w:before="0" w:after="160"/>
        <w:ind w:hanging="0" w:left="0" w:right="0"/>
        <w:jc w:val="left"/>
        <w:rPr>
          <w:sz w:val="28"/>
        </w:rPr>
      </w:pPr>
      <w:r>
        <w:rPr>
          <w:sz w:val="28"/>
        </w:rPr>
      </w:r>
      <w:r>
        <w:br w:type="page"/>
      </w:r>
    </w:p>
    <w:p>
      <w:pPr>
        <w:pStyle w:val="Heading1"/>
        <w:jc w:val="right"/>
        <w:rPr>
          <w:rFonts w:ascii="Times New Roman" w:hAnsi="Times New Roman"/>
        </w:rPr>
      </w:pPr>
      <w:bookmarkStart w:id="22" w:name="__RefHeading___Toc4214_3628426337"/>
      <w:bookmarkEnd w:id="22"/>
      <w:r>
        <w:rPr>
          <w:rFonts w:ascii="Times New Roman" w:hAnsi="Times New Roman"/>
        </w:rPr>
        <w:t xml:space="preserve">Приложение </w:t>
      </w:r>
    </w:p>
    <w:p>
      <w:pPr>
        <w:pStyle w:val="Normal"/>
        <w:spacing w:lineRule="auto" w:line="396" w:before="0" w:after="0"/>
        <w:ind w:hanging="0" w:left="0" w:right="-284"/>
        <w:jc w:val="center"/>
        <w:rPr/>
      </w:pPr>
      <w:r>
        <w:rPr>
          <w:sz w:val="28"/>
        </w:rPr>
        <w:t xml:space="preserve">Акт об отключении средств видеонаблюдения </w:t>
        <w:br/>
        <w:t>или отсутствии видеозаписи экзамена</w:t>
      </w:r>
      <w:r>
        <w:rPr>
          <w:b w:val="false"/>
          <w:sz w:val="28"/>
        </w:rPr>
        <w:t xml:space="preserve"> </w:t>
      </w:r>
    </w:p>
    <w:p>
      <w:pPr>
        <w:pStyle w:val="Normal"/>
        <w:spacing w:lineRule="auto" w:line="240" w:before="0" w:after="0"/>
        <w:ind w:hanging="0" w:left="0" w:right="-284"/>
        <w:contextualSpacing/>
        <w:jc w:val="center"/>
        <w:rPr>
          <w:sz w:val="28"/>
        </w:rPr>
      </w:pPr>
      <w:r>
        <w:rPr>
          <w:sz w:val="28"/>
        </w:rPr>
        <w:t xml:space="preserve"> </w:t>
      </w:r>
    </w:p>
    <w:p>
      <w:pPr>
        <w:pStyle w:val="Normal"/>
        <w:spacing w:before="0" w:after="118"/>
        <w:ind w:hanging="0" w:left="0" w:right="-284"/>
        <w:rPr>
          <w:sz w:val="28"/>
        </w:rPr>
      </w:pPr>
      <w:r>
        <w:rPr>
          <w:sz w:val="28"/>
        </w:rPr>
        <w:t xml:space="preserve">Настоящий акт составлен о том, что в  </w:t>
      </w:r>
    </w:p>
    <w:tbl>
      <w:tblPr>
        <w:tblW w:w="5000" w:type="pct"/>
        <w:jc w:val="left"/>
        <w:tblInd w:w="0" w:type="dxa"/>
        <w:tblLayout w:type="fixed"/>
        <w:tblCellMar>
          <w:top w:w="55" w:type="dxa"/>
          <w:left w:w="55" w:type="dxa"/>
          <w:bottom w:w="55" w:type="dxa"/>
          <w:right w:w="55" w:type="dxa"/>
        </w:tblCellMar>
      </w:tblPr>
      <w:tblGrid>
        <w:gridCol w:w="9921"/>
      </w:tblGrid>
      <w:tr>
        <w:trPr/>
        <w:tc>
          <w:tcPr>
            <w:tcW w:w="9921" w:type="dxa"/>
            <w:tcBorders>
              <w:bottom w:val="single" w:sz="4" w:space="0" w:color="000000"/>
            </w:tcBorders>
          </w:tcPr>
          <w:p>
            <w:pPr>
              <w:pStyle w:val="Style18"/>
              <w:rPr/>
            </w:pPr>
            <w:r>
              <w:rPr/>
            </w:r>
          </w:p>
        </w:tc>
      </w:tr>
    </w:tbl>
    <w:p>
      <w:pPr>
        <w:pStyle w:val="Normal"/>
        <w:spacing w:lineRule="auto" w:line="264" w:before="0" w:after="177"/>
        <w:ind w:hanging="0" w:left="0" w:right="-284"/>
        <w:jc w:val="center"/>
        <w:rPr>
          <w:sz w:val="28"/>
        </w:rPr>
      </w:pPr>
      <w:r>
        <w:rPr>
          <w:sz w:val="28"/>
        </w:rPr>
        <w:t xml:space="preserve">(код и наименование ППЭ) </w:t>
      </w:r>
    </w:p>
    <w:p>
      <w:pPr>
        <w:pStyle w:val="Normal"/>
        <w:spacing w:before="0" w:after="115"/>
        <w:ind w:hanging="0" w:left="0" w:right="-284"/>
        <w:rPr>
          <w:sz w:val="28"/>
        </w:rPr>
      </w:pPr>
      <w:r>
        <w:rPr>
          <w:sz w:val="28"/>
        </w:rPr>
        <w:t xml:space="preserve">в аудитории (-ях) ___________________ в ____ часов ____ минут во время проведения </w:t>
      </w:r>
    </w:p>
    <w:p>
      <w:pPr>
        <w:pStyle w:val="Normal"/>
        <w:spacing w:lineRule="auto" w:line="264" w:before="0" w:after="108"/>
        <w:ind w:hanging="0" w:left="0" w:right="-284"/>
        <w:jc w:val="left"/>
        <w:rPr>
          <w:sz w:val="28"/>
        </w:rPr>
      </w:pPr>
      <w:r>
        <w:rPr>
          <w:sz w:val="28"/>
        </w:rPr>
        <w:t xml:space="preserve">                               </w:t>
      </w:r>
      <w:r>
        <w:rPr>
          <w:sz w:val="28"/>
        </w:rPr>
        <w:t xml:space="preserve">(номер аудитории) </w:t>
      </w:r>
    </w:p>
    <w:p>
      <w:pPr>
        <w:pStyle w:val="Normal"/>
        <w:spacing w:before="0" w:after="94"/>
        <w:ind w:hanging="0" w:left="0" w:right="-284"/>
        <w:rPr>
          <w:sz w:val="28"/>
        </w:rPr>
      </w:pPr>
      <w:r>
        <w:rPr>
          <w:sz w:val="28"/>
        </w:rPr>
        <w:t xml:space="preserve">экзамена по ____________________ произошла остановка видеозаписи экзамена </w:t>
      </w:r>
    </w:p>
    <w:p>
      <w:pPr>
        <w:pStyle w:val="Normal"/>
        <w:spacing w:lineRule="auto" w:line="264" w:before="0" w:after="88"/>
        <w:ind w:hanging="0" w:left="0" w:right="-284"/>
        <w:jc w:val="left"/>
        <w:rPr>
          <w:sz w:val="28"/>
        </w:rPr>
      </w:pPr>
      <w:r>
        <w:rPr>
          <w:sz w:val="28"/>
        </w:rPr>
        <w:t xml:space="preserve">                                     </w:t>
      </w:r>
      <w:r>
        <w:rPr>
          <w:sz w:val="28"/>
          <w:vertAlign w:val="subscript"/>
        </w:rPr>
        <w:t>(предмет)</w:t>
      </w:r>
      <w:r>
        <w:rPr>
          <w:sz w:val="28"/>
        </w:rPr>
        <w:t xml:space="preserve"> </w:t>
      </w:r>
    </w:p>
    <w:p>
      <w:pPr>
        <w:pStyle w:val="Normal"/>
        <w:spacing w:lineRule="auto" w:line="360" w:before="0" w:after="0"/>
        <w:ind w:hanging="0" w:left="0" w:right="-284"/>
        <w:rPr>
          <w:sz w:val="28"/>
          <w:u w:val="none"/>
        </w:rPr>
      </w:pPr>
      <w:r>
        <w:rPr>
          <w:sz w:val="28"/>
          <w:u w:val="none"/>
        </w:rPr>
        <w:t xml:space="preserve">по причине </w:t>
      </w:r>
    </w:p>
    <w:tbl>
      <w:tblPr>
        <w:tblW w:w="5000" w:type="pct"/>
        <w:jc w:val="left"/>
        <w:tblInd w:w="0" w:type="dxa"/>
        <w:tblLayout w:type="fixed"/>
        <w:tblCellMar>
          <w:top w:w="55" w:type="dxa"/>
          <w:left w:w="55" w:type="dxa"/>
          <w:bottom w:w="55" w:type="dxa"/>
          <w:right w:w="55" w:type="dxa"/>
        </w:tblCellMar>
      </w:tblPr>
      <w:tblGrid>
        <w:gridCol w:w="9921"/>
      </w:tblGrid>
      <w:tr>
        <w:trPr/>
        <w:tc>
          <w:tcPr>
            <w:tcW w:w="9921" w:type="dxa"/>
            <w:tcBorders>
              <w:bottom w:val="single" w:sz="4" w:space="0" w:color="000000"/>
            </w:tcBorders>
          </w:tcPr>
          <w:p>
            <w:pPr>
              <w:pStyle w:val="Style18"/>
              <w:rPr/>
            </w:pPr>
            <w:r>
              <w:rPr/>
            </w:r>
          </w:p>
        </w:tc>
      </w:tr>
      <w:tr>
        <w:trPr/>
        <w:tc>
          <w:tcPr>
            <w:tcW w:w="9921" w:type="dxa"/>
            <w:tcBorders>
              <w:bottom w:val="single" w:sz="4" w:space="0" w:color="000000"/>
            </w:tcBorders>
          </w:tcPr>
          <w:p>
            <w:pPr>
              <w:pStyle w:val="Style18"/>
              <w:rPr/>
            </w:pPr>
            <w:r>
              <w:rPr/>
            </w:r>
          </w:p>
        </w:tc>
      </w:tr>
      <w:tr>
        <w:trPr/>
        <w:tc>
          <w:tcPr>
            <w:tcW w:w="9921" w:type="dxa"/>
            <w:tcBorders>
              <w:bottom w:val="single" w:sz="4" w:space="0" w:color="000000"/>
            </w:tcBorders>
          </w:tcPr>
          <w:p>
            <w:pPr>
              <w:pStyle w:val="Style18"/>
              <w:rPr/>
            </w:pPr>
            <w:r>
              <w:rPr/>
            </w:r>
          </w:p>
        </w:tc>
      </w:tr>
    </w:tbl>
    <w:p>
      <w:pPr>
        <w:pStyle w:val="Normal"/>
        <w:spacing w:lineRule="auto" w:line="264" w:before="0" w:after="177"/>
        <w:ind w:hanging="0" w:left="0" w:right="-284"/>
        <w:jc w:val="center"/>
        <w:rPr>
          <w:sz w:val="28"/>
        </w:rPr>
      </w:pPr>
      <w:r>
        <w:rPr>
          <w:sz w:val="28"/>
        </w:rPr>
        <w:t xml:space="preserve">(указать причину) </w:t>
      </w:r>
    </w:p>
    <w:p>
      <w:pPr>
        <w:pStyle w:val="Normal"/>
        <w:spacing w:before="0" w:after="169"/>
        <w:ind w:hanging="0" w:left="0" w:right="-284"/>
        <w:rPr>
          <w:sz w:val="28"/>
        </w:rPr>
      </w:pPr>
      <w:r>
        <w:rPr>
          <w:sz w:val="28"/>
        </w:rPr>
        <w:t xml:space="preserve">Сообщение Оператору было передано в __ часов __ минут. </w:t>
      </w:r>
    </w:p>
    <w:p>
      <w:pPr>
        <w:pStyle w:val="Normal"/>
        <w:spacing w:before="0" w:after="118"/>
        <w:ind w:hanging="0" w:left="0" w:right="-284"/>
        <w:rPr>
          <w:sz w:val="28"/>
        </w:rPr>
      </w:pPr>
      <w:r>
        <w:rPr>
          <w:sz w:val="28"/>
        </w:rPr>
        <w:t xml:space="preserve">Для возобновления видеозаписи были предприняты следующие действия: </w:t>
      </w:r>
    </w:p>
    <w:tbl>
      <w:tblPr>
        <w:tblW w:w="9900" w:type="dxa"/>
        <w:jc w:val="left"/>
        <w:tblInd w:w="0" w:type="dxa"/>
        <w:tblLayout w:type="fixed"/>
        <w:tblCellMar>
          <w:top w:w="55" w:type="dxa"/>
          <w:left w:w="55" w:type="dxa"/>
          <w:bottom w:w="55" w:type="dxa"/>
          <w:right w:w="55" w:type="dxa"/>
        </w:tblCellMar>
      </w:tblPr>
      <w:tblGrid>
        <w:gridCol w:w="9900"/>
      </w:tblGrid>
      <w:tr>
        <w:trPr/>
        <w:tc>
          <w:tcPr>
            <w:tcW w:w="9900" w:type="dxa"/>
            <w:tcBorders>
              <w:bottom w:val="single" w:sz="4" w:space="0" w:color="000000"/>
            </w:tcBorders>
          </w:tcPr>
          <w:p>
            <w:pPr>
              <w:pStyle w:val="Style18"/>
              <w:rPr/>
            </w:pPr>
            <w:r>
              <w:rPr/>
            </w:r>
          </w:p>
        </w:tc>
      </w:tr>
      <w:tr>
        <w:trPr/>
        <w:tc>
          <w:tcPr>
            <w:tcW w:w="9900" w:type="dxa"/>
            <w:tcBorders>
              <w:bottom w:val="single" w:sz="4" w:space="0" w:color="000000"/>
            </w:tcBorders>
          </w:tcPr>
          <w:p>
            <w:pPr>
              <w:pStyle w:val="Style18"/>
              <w:rPr/>
            </w:pPr>
            <w:r>
              <w:rPr/>
            </w:r>
          </w:p>
        </w:tc>
      </w:tr>
      <w:tr>
        <w:trPr/>
        <w:tc>
          <w:tcPr>
            <w:tcW w:w="9900" w:type="dxa"/>
            <w:tcBorders>
              <w:bottom w:val="single" w:sz="4" w:space="0" w:color="000000"/>
            </w:tcBorders>
          </w:tcPr>
          <w:p>
            <w:pPr>
              <w:pStyle w:val="Style18"/>
              <w:rPr/>
            </w:pPr>
            <w:r>
              <w:rPr/>
            </w:r>
          </w:p>
        </w:tc>
      </w:tr>
      <w:tr>
        <w:trPr/>
        <w:tc>
          <w:tcPr>
            <w:tcW w:w="9900" w:type="dxa"/>
            <w:tcBorders>
              <w:bottom w:val="single" w:sz="4" w:space="0" w:color="000000"/>
            </w:tcBorders>
          </w:tcPr>
          <w:p>
            <w:pPr>
              <w:pStyle w:val="Style18"/>
              <w:rPr/>
            </w:pPr>
            <w:r>
              <w:rPr/>
            </w:r>
          </w:p>
        </w:tc>
      </w:tr>
      <w:tr>
        <w:trPr/>
        <w:tc>
          <w:tcPr>
            <w:tcW w:w="9900" w:type="dxa"/>
            <w:tcBorders>
              <w:bottom w:val="single" w:sz="4" w:space="0" w:color="000000"/>
            </w:tcBorders>
          </w:tcPr>
          <w:p>
            <w:pPr>
              <w:pStyle w:val="Style18"/>
              <w:rPr/>
            </w:pPr>
            <w:r>
              <w:rPr/>
            </w:r>
          </w:p>
        </w:tc>
      </w:tr>
    </w:tbl>
    <w:p>
      <w:pPr>
        <w:pStyle w:val="Normal"/>
        <w:spacing w:before="0" w:after="118"/>
        <w:ind w:hanging="0" w:left="0" w:right="-284"/>
        <w:rPr>
          <w:sz w:val="28"/>
        </w:rPr>
      </w:pPr>
      <w:r>
        <w:rPr>
          <w:sz w:val="28"/>
        </w:rPr>
      </w:r>
    </w:p>
    <w:p>
      <w:pPr>
        <w:pStyle w:val="Normal"/>
        <w:ind w:hanging="0" w:left="0" w:right="-284"/>
        <w:rPr>
          <w:sz w:val="28"/>
          <w:u w:val="none"/>
        </w:rPr>
      </w:pPr>
      <w:r>
        <w:rPr>
          <w:sz w:val="28"/>
          <w:u w:val="none"/>
        </w:rPr>
        <w:t xml:space="preserve">Видеозапись ____________________________________ в ______ часов_____минут  </w:t>
      </w:r>
    </w:p>
    <w:p>
      <w:pPr>
        <w:pStyle w:val="Normal"/>
        <w:spacing w:lineRule="auto" w:line="264" w:before="0" w:after="108"/>
        <w:ind w:hanging="0" w:left="0" w:right="-284"/>
        <w:jc w:val="left"/>
        <w:rPr>
          <w:sz w:val="28"/>
        </w:rPr>
      </w:pPr>
      <w:r>
        <w:rPr>
          <w:sz w:val="28"/>
        </w:rPr>
        <w:t xml:space="preserve">                                  </w:t>
      </w:r>
      <w:r>
        <w:rPr>
          <w:sz w:val="28"/>
        </w:rPr>
        <w:t xml:space="preserve">(возобновлена/не возобновлена) </w:t>
      </w:r>
    </w:p>
    <w:p>
      <w:pPr>
        <w:pStyle w:val="Normal"/>
        <w:spacing w:lineRule="auto" w:line="264" w:before="0" w:after="161"/>
        <w:ind w:hanging="0" w:left="0" w:right="-284"/>
        <w:jc w:val="left"/>
        <w:rPr>
          <w:sz w:val="28"/>
        </w:rPr>
      </w:pPr>
      <w:r>
        <w:rPr>
          <w:sz w:val="28"/>
        </w:rPr>
        <w:t xml:space="preserve">"__" __________ 20__ г. </w:t>
      </w:r>
    </w:p>
    <w:tbl>
      <w:tblPr>
        <w:tblW w:w="9901" w:type="dxa"/>
        <w:jc w:val="right"/>
        <w:tblInd w:w="0" w:type="dxa"/>
        <w:tblLayout w:type="fixed"/>
        <w:tblCellMar>
          <w:top w:w="55" w:type="dxa"/>
          <w:left w:w="55" w:type="dxa"/>
          <w:bottom w:w="55" w:type="dxa"/>
          <w:right w:w="55" w:type="dxa"/>
        </w:tblCellMar>
      </w:tblPr>
      <w:tblGrid>
        <w:gridCol w:w="3277"/>
        <w:gridCol w:w="3323"/>
        <w:gridCol w:w="3301"/>
      </w:tblGrid>
      <w:tr>
        <w:trPr>
          <w:trHeight w:val="323" w:hRule="atLeast"/>
        </w:trPr>
        <w:tc>
          <w:tcPr>
            <w:tcW w:w="3277" w:type="dxa"/>
            <w:tcBorders/>
          </w:tcPr>
          <w:p>
            <w:pPr>
              <w:pStyle w:val="Normal"/>
              <w:spacing w:before="0" w:after="118"/>
              <w:ind w:hanging="0" w:left="0" w:right="-284"/>
              <w:jc w:val="center"/>
              <w:rPr/>
            </w:pPr>
            <w:r>
              <w:rPr>
                <w:sz w:val="28"/>
              </w:rPr>
              <w:t>Руководитель ППЭ</w:t>
            </w:r>
          </w:p>
        </w:tc>
        <w:tc>
          <w:tcPr>
            <w:tcW w:w="3323" w:type="dxa"/>
            <w:tcBorders/>
          </w:tcPr>
          <w:p>
            <w:pPr>
              <w:pStyle w:val="Normal"/>
              <w:spacing w:before="0" w:after="118"/>
              <w:ind w:hanging="0" w:left="0" w:right="-284"/>
              <w:jc w:val="center"/>
              <w:rPr/>
            </w:pPr>
            <w:r>
              <w:rPr>
                <w:sz w:val="28"/>
              </w:rPr>
              <w:t>Член ГЭК</w:t>
            </w:r>
          </w:p>
        </w:tc>
        <w:tc>
          <w:tcPr>
            <w:tcW w:w="3301" w:type="dxa"/>
            <w:tcBorders/>
          </w:tcPr>
          <w:p>
            <w:pPr>
              <w:pStyle w:val="Normal"/>
              <w:spacing w:before="0" w:after="118"/>
              <w:ind w:hanging="0" w:left="0" w:right="-284"/>
              <w:jc w:val="center"/>
              <w:rPr/>
            </w:pPr>
            <w:r>
              <w:rPr>
                <w:sz w:val="28"/>
              </w:rPr>
              <w:t>Технический специалист</w:t>
            </w:r>
          </w:p>
        </w:tc>
      </w:tr>
      <w:tr>
        <w:trPr/>
        <w:tc>
          <w:tcPr>
            <w:tcW w:w="3277" w:type="dxa"/>
            <w:tcBorders/>
          </w:tcPr>
          <w:p>
            <w:pPr>
              <w:pStyle w:val="Normal"/>
              <w:spacing w:lineRule="auto" w:line="264" w:before="0" w:after="123"/>
              <w:ind w:hanging="0" w:left="0" w:right="-284"/>
              <w:jc w:val="left"/>
              <w:rPr>
                <w:sz w:val="28"/>
              </w:rPr>
            </w:pPr>
            <w:r>
              <w:rPr>
                <w:sz w:val="28"/>
              </w:rPr>
              <w:t>_________/____________</w:t>
            </w:r>
          </w:p>
          <w:p>
            <w:pPr>
              <w:pStyle w:val="Normal"/>
              <w:widowControl/>
              <w:tabs>
                <w:tab w:val="clear" w:pos="708"/>
                <w:tab w:val="left" w:pos="508" w:leader="none"/>
              </w:tabs>
              <w:bidi w:val="0"/>
              <w:spacing w:lineRule="auto" w:line="264" w:before="0" w:after="108"/>
              <w:ind w:firstLine="170" w:left="0" w:right="-283"/>
              <w:jc w:val="left"/>
              <w:rPr>
                <w:sz w:val="20"/>
              </w:rPr>
            </w:pPr>
            <w:r>
              <w:rPr>
                <w:sz w:val="20"/>
              </w:rPr>
              <w:t>Подпись      /             ФИО</w:t>
            </w:r>
          </w:p>
        </w:tc>
        <w:tc>
          <w:tcPr>
            <w:tcW w:w="3323" w:type="dxa"/>
            <w:tcBorders/>
          </w:tcPr>
          <w:p>
            <w:pPr>
              <w:pStyle w:val="Normal"/>
              <w:spacing w:lineRule="auto" w:line="264" w:before="0" w:after="123"/>
              <w:ind w:hanging="0" w:left="0" w:right="-284"/>
              <w:jc w:val="left"/>
              <w:rPr>
                <w:sz w:val="28"/>
              </w:rPr>
            </w:pPr>
            <w:r>
              <w:rPr>
                <w:sz w:val="28"/>
              </w:rPr>
              <w:t>_________/____________</w:t>
            </w:r>
          </w:p>
          <w:p>
            <w:pPr>
              <w:pStyle w:val="Normal"/>
              <w:widowControl/>
              <w:tabs>
                <w:tab w:val="clear" w:pos="708"/>
                <w:tab w:val="left" w:pos="508" w:leader="none"/>
              </w:tabs>
              <w:bidi w:val="0"/>
              <w:spacing w:lineRule="auto" w:line="264" w:before="0" w:after="108"/>
              <w:ind w:firstLine="170" w:left="0" w:right="-283"/>
              <w:jc w:val="left"/>
              <w:rPr>
                <w:sz w:val="20"/>
              </w:rPr>
            </w:pPr>
            <w:r>
              <w:rPr>
                <w:sz w:val="20"/>
              </w:rPr>
              <w:t>Подпись      /             ФИО</w:t>
            </w:r>
          </w:p>
        </w:tc>
        <w:tc>
          <w:tcPr>
            <w:tcW w:w="3301" w:type="dxa"/>
            <w:tcBorders/>
          </w:tcPr>
          <w:p>
            <w:pPr>
              <w:pStyle w:val="Normal"/>
              <w:spacing w:lineRule="auto" w:line="264" w:before="0" w:after="123"/>
              <w:ind w:hanging="0" w:left="0" w:right="-284"/>
              <w:jc w:val="left"/>
              <w:rPr>
                <w:sz w:val="28"/>
              </w:rPr>
            </w:pPr>
            <w:r>
              <w:rPr>
                <w:sz w:val="28"/>
              </w:rPr>
              <w:t>_________/____________</w:t>
            </w:r>
          </w:p>
          <w:p>
            <w:pPr>
              <w:pStyle w:val="Normal"/>
              <w:widowControl/>
              <w:tabs>
                <w:tab w:val="clear" w:pos="708"/>
                <w:tab w:val="left" w:pos="508" w:leader="none"/>
              </w:tabs>
              <w:bidi w:val="0"/>
              <w:spacing w:lineRule="auto" w:line="264" w:before="0" w:after="108"/>
              <w:ind w:firstLine="170" w:left="0" w:right="-283"/>
              <w:jc w:val="left"/>
              <w:rPr>
                <w:sz w:val="20"/>
              </w:rPr>
            </w:pPr>
            <w:r>
              <w:rPr>
                <w:sz w:val="20"/>
              </w:rPr>
              <w:t>Подпись      /                ФИО</w:t>
            </w:r>
          </w:p>
        </w:tc>
      </w:tr>
    </w:tbl>
    <w:p>
      <w:pPr>
        <w:pStyle w:val="Normal"/>
        <w:spacing w:before="0" w:after="118"/>
        <w:ind w:hanging="0" w:left="0" w:right="-284"/>
        <w:rPr>
          <w:sz w:val="28"/>
        </w:rPr>
      </w:pPr>
      <w:r>
        <w:rPr>
          <w:sz w:val="28"/>
        </w:rPr>
      </w:r>
    </w:p>
    <w:p>
      <w:pPr>
        <w:pStyle w:val="Normal"/>
        <w:spacing w:before="0" w:after="118"/>
        <w:ind w:hanging="0" w:left="0" w:right="-284"/>
        <w:rPr>
          <w:sz w:val="28"/>
        </w:rPr>
      </w:pPr>
      <w:r>
        <w:rPr>
          <w:sz w:val="28"/>
        </w:rPr>
      </w:r>
    </w:p>
    <w:sectPr>
      <w:headerReference w:type="default" r:id="rId2"/>
      <w:footerReference w:type="default" r:id="rId3"/>
      <w:footnotePr>
        <w:numFmt w:val="decimal"/>
      </w:footnotePr>
      <w:type w:val="nextPage"/>
      <w:pgSz w:w="11906" w:h="16838"/>
      <w:pgMar w:left="1134" w:right="851" w:gutter="0" w:header="0" w:top="1134" w:footer="720" w:bottom="1134"/>
      <w:pgNumType w:start="274"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XO Thames">
    <w:charset w:val="01"/>
    <w:family w:val="roman"/>
    <w:pitch w:val="variable"/>
  </w:font>
  <w:font w:name="OpenSymbol">
    <w:altName w:val="Arial Unicode MS"/>
    <w:charset w:val="01"/>
    <w:family w:val="roman"/>
    <w:pitch w:val="variable"/>
  </w:font>
  <w:font w:name="Times New Roman">
    <w:charset w:val="01"/>
    <w:family w:val="roman"/>
    <w:pitch w:val="variable"/>
  </w:font>
  <w:font w:name="Open Sans">
    <w:charset w:val="01"/>
    <w:family w:val="roman"/>
    <w:pitch w:val="variable"/>
  </w:font>
  <w:font w:name="Symbol">
    <w:charset w:val="02"/>
    <w:family w:val="auto"/>
    <w:pitch w:val="variable"/>
  </w:font>
  <w:font w:name="Courier New">
    <w:charset w:val="01"/>
    <w:family w:val="modern"/>
    <w:pitch w:val="fixed"/>
  </w:font>
  <w:font w:name="Wingdings">
    <w:charset w:val="02"/>
    <w:family w:val="auto"/>
    <w:pitch w:val="variable"/>
  </w:font>
  <w:font w:name="Segoe UI Symbol">
    <w:charset w:val="01"/>
    <w:family w:val="auto"/>
    <w:pitch w:val="default"/>
  </w:font>
  <w:font w:name="Arial">
    <w:charset w:val="01"/>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64" w:before="0" w:after="160"/>
      <w:ind w:hanging="0" w:left="0" w:right="0"/>
      <w:jc w:val="lef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pPr>
      <w:r>
        <w:rPr>
          <w:rStyle w:val="Style9"/>
        </w:rPr>
        <w:footnoteRef/>
      </w:r>
      <w:r>
        <w:rPr/>
        <w:t xml:space="preserve"> </w:t>
      </w:r>
      <w:r>
        <w:rPr/>
        <w:t xml:space="preserve">(Руководствуясь ГК РФ ст. 191,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p>
    <w:pPr>
      <w:pStyle w:val="Normal"/>
      <w:jc w:val="center"/>
      <w:rPr>
        <w:rFonts w:ascii="Times New Roman" w:hAnsi="Times New Roman"/>
        <w:sz w:val="28"/>
        <w:szCs w:val="28"/>
      </w:rPr>
    </w:pPr>
    <w:bookmarkStart w:id="23" w:name="PageNumWizard_HEADER_Базовый274"/>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288</w:t>
    </w:r>
    <w:r>
      <w:rPr>
        <w:sz w:val="28"/>
        <w:szCs w:val="28"/>
        <w:rFonts w:ascii="Times New Roman" w:hAnsi="Times New Roman"/>
      </w:rPr>
      <w:fldChar w:fldCharType="end"/>
    </w:r>
    <w:bookmarkEnd w:id="23"/>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720"/>
        </w:tabs>
        <w:ind w:left="720" w:hanging="360"/>
      </w:pPr>
      <w:rPr>
        <w:sz w:val="28"/>
        <w:szCs w:val="28"/>
        <w:rFonts w:ascii="Times New Roman" w:hAnsi="Times New Roman"/>
      </w:rPr>
    </w:lvl>
    <w:lvl w:ilvl="1">
      <w:start w:val="1"/>
      <w:numFmt w:val="decimal"/>
      <w:lvlText w:val="%1.%2."/>
      <w:lvlJc w:val="left"/>
      <w:pPr>
        <w:tabs>
          <w:tab w:val="num" w:pos="1080"/>
        </w:tabs>
        <w:ind w:left="1080" w:hanging="360"/>
      </w:pPr>
      <w:rPr>
        <w:sz w:val="28"/>
        <w:szCs w:val="28"/>
        <w:rFonts w:ascii="Times New Roman" w:hAnsi="Times New Roman"/>
      </w:rPr>
    </w:lvl>
    <w:lvl w:ilvl="2">
      <w:start w:val="1"/>
      <w:numFmt w:val="lowerLetter"/>
      <w:lvlText w:val="%3)"/>
      <w:lvlJc w:val="left"/>
      <w:pPr>
        <w:tabs>
          <w:tab w:val="num" w:pos="1440"/>
        </w:tabs>
        <w:ind w:left="1440" w:hanging="360"/>
      </w:pPr>
      <w:rPr>
        <w:sz w:val="28"/>
        <w:szCs w:val="28"/>
        <w:rFonts w:ascii="Times New Roman" w:hAnsi="Times New Roman"/>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05" w:hanging="0"/>
      </w:pPr>
      <w:rPr>
        <w:rFonts w:ascii="Courier New" w:hAnsi="Courier New" w:cs="Courier New" w:hint="default"/>
        <w:dstrike w:val="false"/>
        <w:strike w:val="false"/>
        <w:sz w:val="26"/>
        <w:i w:val="false"/>
        <w:u w:val="none"/>
        <w:b w:val="false"/>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4">
    <w:lvl w:ilvl="0">
      <w:start w:val="2"/>
      <w:numFmt w:val="decimal"/>
      <w:lvlText w:val="%1."/>
      <w:lvlJc w:val="left"/>
      <w:pPr>
        <w:tabs>
          <w:tab w:val="num" w:pos="0"/>
        </w:tabs>
        <w:ind w:left="644" w:hanging="0"/>
      </w:pPr>
      <w:rPr>
        <w:dstrike w:val="false"/>
        <w:strike w:val="false"/>
        <w:sz w:val="28"/>
        <w:i w:val="false"/>
        <w:u w:val="none"/>
        <w:b w:val="false"/>
        <w:rFonts w:ascii="Times New Roman" w:hAnsi="Times New Roman"/>
        <w:color w:val="000000"/>
      </w:rPr>
    </w:lvl>
    <w:lvl w:ilvl="1">
      <w:start w:val="1"/>
      <w:numFmt w:val="lowerLetter"/>
      <w:lvlText w:val="%2"/>
      <w:lvlJc w:val="left"/>
      <w:pPr>
        <w:tabs>
          <w:tab w:val="num" w:pos="0"/>
        </w:tabs>
        <w:ind w:left="1364" w:hanging="0"/>
      </w:pPr>
      <w:rPr>
        <w:dstrike w:val="false"/>
        <w:strike w:val="false"/>
        <w:sz w:val="26"/>
        <w:i w:val="false"/>
        <w:u w:val="none"/>
        <w:b w:val="false"/>
        <w:rFonts w:ascii="Times New Roman" w:hAnsi="Times New Roman"/>
        <w:color w:val="000000"/>
      </w:rPr>
    </w:lvl>
    <w:lvl w:ilvl="2">
      <w:start w:val="1"/>
      <w:numFmt w:val="lowerRoman"/>
      <w:lvlText w:val="%3"/>
      <w:lvlJc w:val="left"/>
      <w:pPr>
        <w:tabs>
          <w:tab w:val="num" w:pos="0"/>
        </w:tabs>
        <w:ind w:left="2084" w:hanging="0"/>
      </w:pPr>
      <w:rPr>
        <w:dstrike w:val="false"/>
        <w:strike w:val="false"/>
        <w:sz w:val="26"/>
        <w:i w:val="false"/>
        <w:u w:val="none"/>
        <w:b w:val="false"/>
        <w:rFonts w:ascii="Times New Roman" w:hAnsi="Times New Roman"/>
        <w:color w:val="000000"/>
      </w:rPr>
    </w:lvl>
    <w:lvl w:ilvl="3">
      <w:start w:val="1"/>
      <w:numFmt w:val="decimal"/>
      <w:lvlText w:val="%4"/>
      <w:lvlJc w:val="left"/>
      <w:pPr>
        <w:tabs>
          <w:tab w:val="num" w:pos="0"/>
        </w:tabs>
        <w:ind w:left="2804" w:hanging="0"/>
      </w:pPr>
      <w:rPr>
        <w:dstrike w:val="false"/>
        <w:strike w:val="false"/>
        <w:sz w:val="26"/>
        <w:i w:val="false"/>
        <w:u w:val="none"/>
        <w:b w:val="false"/>
        <w:rFonts w:ascii="Times New Roman" w:hAnsi="Times New Roman"/>
        <w:color w:val="000000"/>
      </w:rPr>
    </w:lvl>
    <w:lvl w:ilvl="4">
      <w:start w:val="1"/>
      <w:numFmt w:val="lowerLetter"/>
      <w:lvlText w:val="%5"/>
      <w:lvlJc w:val="left"/>
      <w:pPr>
        <w:tabs>
          <w:tab w:val="num" w:pos="0"/>
        </w:tabs>
        <w:ind w:left="3524" w:hanging="0"/>
      </w:pPr>
      <w:rPr>
        <w:dstrike w:val="false"/>
        <w:strike w:val="false"/>
        <w:sz w:val="26"/>
        <w:i w:val="false"/>
        <w:u w:val="none"/>
        <w:b w:val="false"/>
        <w:rFonts w:ascii="Times New Roman" w:hAnsi="Times New Roman"/>
        <w:color w:val="000000"/>
      </w:rPr>
    </w:lvl>
    <w:lvl w:ilvl="5">
      <w:start w:val="1"/>
      <w:numFmt w:val="lowerRoman"/>
      <w:lvlText w:val="%6"/>
      <w:lvlJc w:val="left"/>
      <w:pPr>
        <w:tabs>
          <w:tab w:val="num" w:pos="0"/>
        </w:tabs>
        <w:ind w:left="4244" w:hanging="0"/>
      </w:pPr>
      <w:rPr>
        <w:dstrike w:val="false"/>
        <w:strike w:val="false"/>
        <w:sz w:val="26"/>
        <w:i w:val="false"/>
        <w:u w:val="none"/>
        <w:b w:val="false"/>
        <w:rFonts w:ascii="Times New Roman" w:hAnsi="Times New Roman"/>
        <w:color w:val="000000"/>
      </w:rPr>
    </w:lvl>
    <w:lvl w:ilvl="6">
      <w:start w:val="1"/>
      <w:numFmt w:val="decimal"/>
      <w:lvlText w:val="%7"/>
      <w:lvlJc w:val="left"/>
      <w:pPr>
        <w:tabs>
          <w:tab w:val="num" w:pos="0"/>
        </w:tabs>
        <w:ind w:left="4964" w:hanging="0"/>
      </w:pPr>
      <w:rPr>
        <w:dstrike w:val="false"/>
        <w:strike w:val="false"/>
        <w:sz w:val="26"/>
        <w:i w:val="false"/>
        <w:u w:val="none"/>
        <w:b w:val="false"/>
        <w:rFonts w:ascii="Times New Roman" w:hAnsi="Times New Roman"/>
        <w:color w:val="000000"/>
      </w:rPr>
    </w:lvl>
    <w:lvl w:ilvl="7">
      <w:start w:val="1"/>
      <w:numFmt w:val="lowerLetter"/>
      <w:lvlText w:val="%8"/>
      <w:lvlJc w:val="left"/>
      <w:pPr>
        <w:tabs>
          <w:tab w:val="num" w:pos="0"/>
        </w:tabs>
        <w:ind w:left="5684" w:hanging="0"/>
      </w:pPr>
      <w:rPr>
        <w:dstrike w:val="false"/>
        <w:strike w:val="false"/>
        <w:sz w:val="26"/>
        <w:i w:val="false"/>
        <w:u w:val="none"/>
        <w:b w:val="false"/>
        <w:rFonts w:ascii="Times New Roman" w:hAnsi="Times New Roman"/>
        <w:color w:val="000000"/>
      </w:rPr>
    </w:lvl>
    <w:lvl w:ilvl="8">
      <w:start w:val="1"/>
      <w:numFmt w:val="lowerRoman"/>
      <w:lvlText w:val="%9"/>
      <w:lvlJc w:val="left"/>
      <w:pPr>
        <w:tabs>
          <w:tab w:val="num" w:pos="0"/>
        </w:tabs>
        <w:ind w:left="6404" w:hanging="0"/>
      </w:pPr>
      <w:rPr>
        <w:dstrike w:val="false"/>
        <w:strike w:val="false"/>
        <w:sz w:val="26"/>
        <w:i w:val="false"/>
        <w:u w:val="none"/>
        <w:b w:val="false"/>
        <w:rFonts w:ascii="Times New Roman" w:hAnsi="Times New Roman"/>
        <w:color w:val="000000"/>
      </w:rPr>
    </w:lvl>
  </w:abstractNum>
  <w:abstractNum w:abstractNumId="5">
    <w:lvl w:ilvl="0">
      <w:start w:val="4"/>
      <w:numFmt w:val="decimal"/>
      <w:lvlText w:val="%1."/>
      <w:lvlJc w:val="left"/>
      <w:pPr>
        <w:tabs>
          <w:tab w:val="num" w:pos="0"/>
        </w:tabs>
        <w:ind w:left="644" w:hanging="0"/>
      </w:pPr>
      <w:rPr>
        <w:dstrike w:val="false"/>
        <w:strike w:val="false"/>
        <w:sz w:val="28"/>
        <w:i w:val="false"/>
        <w:u w:val="none"/>
        <w:b w:val="false"/>
        <w:rFonts w:ascii="Times New Roman" w:hAnsi="Times New Roman"/>
        <w:color w:val="000000"/>
      </w:rPr>
    </w:lvl>
    <w:lvl w:ilvl="1">
      <w:start w:val="1"/>
      <w:numFmt w:val="lowerLetter"/>
      <w:lvlText w:val="%2"/>
      <w:lvlJc w:val="left"/>
      <w:pPr>
        <w:tabs>
          <w:tab w:val="num" w:pos="0"/>
        </w:tabs>
        <w:ind w:left="1364" w:hanging="0"/>
      </w:pPr>
      <w:rPr>
        <w:dstrike w:val="false"/>
        <w:strike w:val="false"/>
        <w:sz w:val="26"/>
        <w:i w:val="false"/>
        <w:u w:val="none"/>
        <w:b w:val="false"/>
        <w:rFonts w:ascii="Times New Roman" w:hAnsi="Times New Roman"/>
        <w:color w:val="000000"/>
      </w:rPr>
    </w:lvl>
    <w:lvl w:ilvl="2">
      <w:start w:val="1"/>
      <w:numFmt w:val="lowerRoman"/>
      <w:lvlText w:val="%3"/>
      <w:lvlJc w:val="left"/>
      <w:pPr>
        <w:tabs>
          <w:tab w:val="num" w:pos="0"/>
        </w:tabs>
        <w:ind w:left="2084" w:hanging="0"/>
      </w:pPr>
      <w:rPr>
        <w:dstrike w:val="false"/>
        <w:strike w:val="false"/>
        <w:sz w:val="26"/>
        <w:i w:val="false"/>
        <w:u w:val="none"/>
        <w:b w:val="false"/>
        <w:rFonts w:ascii="Times New Roman" w:hAnsi="Times New Roman"/>
        <w:color w:val="000000"/>
      </w:rPr>
    </w:lvl>
    <w:lvl w:ilvl="3">
      <w:start w:val="1"/>
      <w:numFmt w:val="decimal"/>
      <w:lvlText w:val="%4"/>
      <w:lvlJc w:val="left"/>
      <w:pPr>
        <w:tabs>
          <w:tab w:val="num" w:pos="0"/>
        </w:tabs>
        <w:ind w:left="2804" w:hanging="0"/>
      </w:pPr>
      <w:rPr>
        <w:dstrike w:val="false"/>
        <w:strike w:val="false"/>
        <w:sz w:val="26"/>
        <w:i w:val="false"/>
        <w:u w:val="none"/>
        <w:b w:val="false"/>
        <w:rFonts w:ascii="Times New Roman" w:hAnsi="Times New Roman"/>
        <w:color w:val="000000"/>
      </w:rPr>
    </w:lvl>
    <w:lvl w:ilvl="4">
      <w:start w:val="1"/>
      <w:numFmt w:val="lowerLetter"/>
      <w:lvlText w:val="%5"/>
      <w:lvlJc w:val="left"/>
      <w:pPr>
        <w:tabs>
          <w:tab w:val="num" w:pos="0"/>
        </w:tabs>
        <w:ind w:left="3524" w:hanging="0"/>
      </w:pPr>
      <w:rPr>
        <w:dstrike w:val="false"/>
        <w:strike w:val="false"/>
        <w:sz w:val="26"/>
        <w:i w:val="false"/>
        <w:u w:val="none"/>
        <w:b w:val="false"/>
        <w:rFonts w:ascii="Times New Roman" w:hAnsi="Times New Roman"/>
        <w:color w:val="000000"/>
      </w:rPr>
    </w:lvl>
    <w:lvl w:ilvl="5">
      <w:start w:val="1"/>
      <w:numFmt w:val="lowerRoman"/>
      <w:lvlText w:val="%6"/>
      <w:lvlJc w:val="left"/>
      <w:pPr>
        <w:tabs>
          <w:tab w:val="num" w:pos="0"/>
        </w:tabs>
        <w:ind w:left="4244" w:hanging="0"/>
      </w:pPr>
      <w:rPr>
        <w:dstrike w:val="false"/>
        <w:strike w:val="false"/>
        <w:sz w:val="26"/>
        <w:i w:val="false"/>
        <w:u w:val="none"/>
        <w:b w:val="false"/>
        <w:rFonts w:ascii="Times New Roman" w:hAnsi="Times New Roman"/>
        <w:color w:val="000000"/>
      </w:rPr>
    </w:lvl>
    <w:lvl w:ilvl="6">
      <w:start w:val="1"/>
      <w:numFmt w:val="decimal"/>
      <w:lvlText w:val="%7"/>
      <w:lvlJc w:val="left"/>
      <w:pPr>
        <w:tabs>
          <w:tab w:val="num" w:pos="0"/>
        </w:tabs>
        <w:ind w:left="4964" w:hanging="0"/>
      </w:pPr>
      <w:rPr>
        <w:dstrike w:val="false"/>
        <w:strike w:val="false"/>
        <w:sz w:val="26"/>
        <w:i w:val="false"/>
        <w:u w:val="none"/>
        <w:b w:val="false"/>
        <w:rFonts w:ascii="Times New Roman" w:hAnsi="Times New Roman"/>
        <w:color w:val="000000"/>
      </w:rPr>
    </w:lvl>
    <w:lvl w:ilvl="7">
      <w:start w:val="1"/>
      <w:numFmt w:val="lowerLetter"/>
      <w:lvlText w:val="%8"/>
      <w:lvlJc w:val="left"/>
      <w:pPr>
        <w:tabs>
          <w:tab w:val="num" w:pos="0"/>
        </w:tabs>
        <w:ind w:left="5684" w:hanging="0"/>
      </w:pPr>
      <w:rPr>
        <w:dstrike w:val="false"/>
        <w:strike w:val="false"/>
        <w:sz w:val="26"/>
        <w:i w:val="false"/>
        <w:u w:val="none"/>
        <w:b w:val="false"/>
        <w:rFonts w:ascii="Times New Roman" w:hAnsi="Times New Roman"/>
        <w:color w:val="000000"/>
      </w:rPr>
    </w:lvl>
    <w:lvl w:ilvl="8">
      <w:start w:val="1"/>
      <w:numFmt w:val="lowerRoman"/>
      <w:lvlText w:val="%9"/>
      <w:lvlJc w:val="left"/>
      <w:pPr>
        <w:tabs>
          <w:tab w:val="num" w:pos="0"/>
        </w:tabs>
        <w:ind w:left="6404" w:hanging="0"/>
      </w:pPr>
      <w:rPr>
        <w:dstrike w:val="false"/>
        <w:strike w:val="false"/>
        <w:sz w:val="26"/>
        <w:i w:val="false"/>
        <w:u w:val="none"/>
        <w:b w:val="false"/>
        <w:rFonts w:ascii="Times New Roman" w:hAnsi="Times New Roman"/>
        <w:color w:val="000000"/>
      </w:rPr>
    </w:lvl>
  </w:abstractNum>
  <w:abstractNum w:abstractNumId="6">
    <w:lvl w:ilvl="0">
      <w:start w:val="1"/>
      <w:numFmt w:val="bullet"/>
      <w:lvlText w:val="─"/>
      <w:lvlJc w:val="left"/>
      <w:pPr>
        <w:tabs>
          <w:tab w:val="num" w:pos="0"/>
        </w:tabs>
        <w:ind w:left="705" w:hanging="0"/>
      </w:pPr>
      <w:rPr>
        <w:rFonts w:ascii="Courier New" w:hAnsi="Courier New" w:cs="Courier New" w:hint="default"/>
        <w:dstrike w:val="false"/>
        <w:strike w:val="false"/>
        <w:sz w:val="26"/>
        <w:i w:val="false"/>
        <w:u w:val="none"/>
        <w:b w:val="false"/>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7">
    <w:lvl w:ilvl="0">
      <w:start w:val="1"/>
      <w:numFmt w:val="decimal"/>
      <w:lvlText w:val="%1."/>
      <w:lvlJc w:val="left"/>
      <w:pPr>
        <w:tabs>
          <w:tab w:val="num" w:pos="0"/>
        </w:tabs>
        <w:ind w:left="644" w:hanging="0"/>
      </w:pPr>
      <w:rPr>
        <w:dstrike w:val="false"/>
        <w:strike w:val="false"/>
        <w:sz w:val="28"/>
        <w:i w:val="false"/>
        <w:u w:val="none"/>
        <w:b w:val="false"/>
        <w:rFonts w:ascii="Times New Roman" w:hAnsi="Times New Roman"/>
        <w:color w:val="000000"/>
      </w:rPr>
    </w:lvl>
    <w:lvl w:ilvl="1">
      <w:start w:val="1"/>
      <w:numFmt w:val="lowerLetter"/>
      <w:lvlText w:val="%2"/>
      <w:lvlJc w:val="left"/>
      <w:pPr>
        <w:tabs>
          <w:tab w:val="num" w:pos="0"/>
        </w:tabs>
        <w:ind w:left="1364" w:hanging="0"/>
      </w:pPr>
      <w:rPr>
        <w:dstrike w:val="false"/>
        <w:strike w:val="false"/>
        <w:sz w:val="26"/>
        <w:i w:val="false"/>
        <w:u w:val="none"/>
        <w:b w:val="false"/>
        <w:rFonts w:ascii="Times New Roman" w:hAnsi="Times New Roman"/>
        <w:color w:val="000000"/>
      </w:rPr>
    </w:lvl>
    <w:lvl w:ilvl="2">
      <w:start w:val="1"/>
      <w:numFmt w:val="lowerRoman"/>
      <w:lvlText w:val="%3"/>
      <w:lvlJc w:val="left"/>
      <w:pPr>
        <w:tabs>
          <w:tab w:val="num" w:pos="0"/>
        </w:tabs>
        <w:ind w:left="2084" w:hanging="0"/>
      </w:pPr>
      <w:rPr>
        <w:dstrike w:val="false"/>
        <w:strike w:val="false"/>
        <w:sz w:val="26"/>
        <w:i w:val="false"/>
        <w:u w:val="none"/>
        <w:b w:val="false"/>
        <w:rFonts w:ascii="Times New Roman" w:hAnsi="Times New Roman"/>
        <w:color w:val="000000"/>
      </w:rPr>
    </w:lvl>
    <w:lvl w:ilvl="3">
      <w:start w:val="1"/>
      <w:numFmt w:val="decimal"/>
      <w:lvlText w:val="%4"/>
      <w:lvlJc w:val="left"/>
      <w:pPr>
        <w:tabs>
          <w:tab w:val="num" w:pos="0"/>
        </w:tabs>
        <w:ind w:left="2804" w:hanging="0"/>
      </w:pPr>
      <w:rPr>
        <w:dstrike w:val="false"/>
        <w:strike w:val="false"/>
        <w:sz w:val="26"/>
        <w:i w:val="false"/>
        <w:u w:val="none"/>
        <w:b w:val="false"/>
        <w:rFonts w:ascii="Times New Roman" w:hAnsi="Times New Roman"/>
        <w:color w:val="000000"/>
      </w:rPr>
    </w:lvl>
    <w:lvl w:ilvl="4">
      <w:start w:val="1"/>
      <w:numFmt w:val="lowerLetter"/>
      <w:lvlText w:val="%5"/>
      <w:lvlJc w:val="left"/>
      <w:pPr>
        <w:tabs>
          <w:tab w:val="num" w:pos="0"/>
        </w:tabs>
        <w:ind w:left="3524" w:hanging="0"/>
      </w:pPr>
      <w:rPr>
        <w:dstrike w:val="false"/>
        <w:strike w:val="false"/>
        <w:sz w:val="26"/>
        <w:i w:val="false"/>
        <w:u w:val="none"/>
        <w:b w:val="false"/>
        <w:rFonts w:ascii="Times New Roman" w:hAnsi="Times New Roman"/>
        <w:color w:val="000000"/>
      </w:rPr>
    </w:lvl>
    <w:lvl w:ilvl="5">
      <w:start w:val="1"/>
      <w:numFmt w:val="lowerRoman"/>
      <w:lvlText w:val="%6"/>
      <w:lvlJc w:val="left"/>
      <w:pPr>
        <w:tabs>
          <w:tab w:val="num" w:pos="0"/>
        </w:tabs>
        <w:ind w:left="4244" w:hanging="0"/>
      </w:pPr>
      <w:rPr>
        <w:dstrike w:val="false"/>
        <w:strike w:val="false"/>
        <w:sz w:val="26"/>
        <w:i w:val="false"/>
        <w:u w:val="none"/>
        <w:b w:val="false"/>
        <w:rFonts w:ascii="Times New Roman" w:hAnsi="Times New Roman"/>
        <w:color w:val="000000"/>
      </w:rPr>
    </w:lvl>
    <w:lvl w:ilvl="6">
      <w:start w:val="1"/>
      <w:numFmt w:val="decimal"/>
      <w:lvlText w:val="%7"/>
      <w:lvlJc w:val="left"/>
      <w:pPr>
        <w:tabs>
          <w:tab w:val="num" w:pos="0"/>
        </w:tabs>
        <w:ind w:left="4964" w:hanging="0"/>
      </w:pPr>
      <w:rPr>
        <w:dstrike w:val="false"/>
        <w:strike w:val="false"/>
        <w:sz w:val="26"/>
        <w:i w:val="false"/>
        <w:u w:val="none"/>
        <w:b w:val="false"/>
        <w:rFonts w:ascii="Times New Roman" w:hAnsi="Times New Roman"/>
        <w:color w:val="000000"/>
      </w:rPr>
    </w:lvl>
    <w:lvl w:ilvl="7">
      <w:start w:val="1"/>
      <w:numFmt w:val="lowerLetter"/>
      <w:lvlText w:val="%8"/>
      <w:lvlJc w:val="left"/>
      <w:pPr>
        <w:tabs>
          <w:tab w:val="num" w:pos="0"/>
        </w:tabs>
        <w:ind w:left="5684" w:hanging="0"/>
      </w:pPr>
      <w:rPr>
        <w:dstrike w:val="false"/>
        <w:strike w:val="false"/>
        <w:sz w:val="26"/>
        <w:i w:val="false"/>
        <w:u w:val="none"/>
        <w:b w:val="false"/>
        <w:rFonts w:ascii="Times New Roman" w:hAnsi="Times New Roman"/>
        <w:color w:val="000000"/>
      </w:rPr>
    </w:lvl>
    <w:lvl w:ilvl="8">
      <w:start w:val="1"/>
      <w:numFmt w:val="lowerRoman"/>
      <w:lvlText w:val="%9"/>
      <w:lvlJc w:val="left"/>
      <w:pPr>
        <w:tabs>
          <w:tab w:val="num" w:pos="0"/>
        </w:tabs>
        <w:ind w:left="6404" w:hanging="0"/>
      </w:pPr>
      <w:rPr>
        <w:dstrike w:val="false"/>
        <w:strike w:val="false"/>
        <w:sz w:val="26"/>
        <w:i w:val="false"/>
        <w:u w:val="none"/>
        <w:b w:val="false"/>
        <w:rFonts w:ascii="Times New Roman" w:hAnsi="Times New Roman"/>
        <w:color w:val="000000"/>
      </w:rPr>
    </w:lvl>
  </w:abstractNum>
  <w:abstractNum w:abstractNumId="8">
    <w:lvl w:ilvl="0">
      <w:start w:val="1"/>
      <w:numFmt w:val="bullet"/>
      <w:lvlText w:val="─"/>
      <w:lvlJc w:val="left"/>
      <w:pPr>
        <w:tabs>
          <w:tab w:val="num" w:pos="0"/>
        </w:tabs>
        <w:ind w:left="705" w:hanging="0"/>
      </w:pPr>
      <w:rPr>
        <w:rFonts w:ascii="Courier New" w:hAnsi="Courier New" w:cs="Courier New" w:hint="default"/>
        <w:dstrike w:val="false"/>
        <w:strike w:val="false"/>
        <w:sz w:val="26"/>
        <w:i w:val="false"/>
        <w:u w:val="none"/>
        <w:b w:val="false"/>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9">
    <w:lvl w:ilvl="0">
      <w:start w:val="3"/>
      <w:numFmt w:val="decimal"/>
      <w:lvlText w:val="%1."/>
      <w:lvlJc w:val="left"/>
      <w:pPr>
        <w:tabs>
          <w:tab w:val="num" w:pos="0"/>
        </w:tabs>
        <w:ind w:left="644" w:hanging="0"/>
      </w:pPr>
      <w:rPr>
        <w:dstrike w:val="false"/>
        <w:strike w:val="false"/>
        <w:sz w:val="28"/>
        <w:i w:val="false"/>
        <w:u w:val="none"/>
        <w:b w:val="false"/>
        <w:rFonts w:ascii="Times New Roman" w:hAnsi="Times New Roman"/>
        <w:color w:val="000000"/>
      </w:rPr>
    </w:lvl>
    <w:lvl w:ilvl="1">
      <w:start w:val="1"/>
      <w:numFmt w:val="lowerLetter"/>
      <w:lvlText w:val="%2"/>
      <w:lvlJc w:val="left"/>
      <w:pPr>
        <w:tabs>
          <w:tab w:val="num" w:pos="0"/>
        </w:tabs>
        <w:ind w:left="1364" w:hanging="0"/>
      </w:pPr>
      <w:rPr>
        <w:dstrike w:val="false"/>
        <w:strike w:val="false"/>
        <w:sz w:val="26"/>
        <w:i w:val="false"/>
        <w:u w:val="none"/>
        <w:b w:val="false"/>
        <w:rFonts w:ascii="Times New Roman" w:hAnsi="Times New Roman"/>
        <w:color w:val="000000"/>
      </w:rPr>
    </w:lvl>
    <w:lvl w:ilvl="2">
      <w:start w:val="1"/>
      <w:numFmt w:val="lowerRoman"/>
      <w:lvlText w:val="%3"/>
      <w:lvlJc w:val="left"/>
      <w:pPr>
        <w:tabs>
          <w:tab w:val="num" w:pos="0"/>
        </w:tabs>
        <w:ind w:left="2084" w:hanging="0"/>
      </w:pPr>
      <w:rPr>
        <w:dstrike w:val="false"/>
        <w:strike w:val="false"/>
        <w:sz w:val="26"/>
        <w:i w:val="false"/>
        <w:u w:val="none"/>
        <w:b w:val="false"/>
        <w:rFonts w:ascii="Times New Roman" w:hAnsi="Times New Roman"/>
        <w:color w:val="000000"/>
      </w:rPr>
    </w:lvl>
    <w:lvl w:ilvl="3">
      <w:start w:val="1"/>
      <w:numFmt w:val="decimal"/>
      <w:lvlText w:val="%4"/>
      <w:lvlJc w:val="left"/>
      <w:pPr>
        <w:tabs>
          <w:tab w:val="num" w:pos="0"/>
        </w:tabs>
        <w:ind w:left="2804" w:hanging="0"/>
      </w:pPr>
      <w:rPr>
        <w:dstrike w:val="false"/>
        <w:strike w:val="false"/>
        <w:sz w:val="26"/>
        <w:i w:val="false"/>
        <w:u w:val="none"/>
        <w:b w:val="false"/>
        <w:rFonts w:ascii="Times New Roman" w:hAnsi="Times New Roman"/>
        <w:color w:val="000000"/>
      </w:rPr>
    </w:lvl>
    <w:lvl w:ilvl="4">
      <w:start w:val="1"/>
      <w:numFmt w:val="lowerLetter"/>
      <w:lvlText w:val="%5"/>
      <w:lvlJc w:val="left"/>
      <w:pPr>
        <w:tabs>
          <w:tab w:val="num" w:pos="0"/>
        </w:tabs>
        <w:ind w:left="3524" w:hanging="0"/>
      </w:pPr>
      <w:rPr>
        <w:dstrike w:val="false"/>
        <w:strike w:val="false"/>
        <w:sz w:val="26"/>
        <w:i w:val="false"/>
        <w:u w:val="none"/>
        <w:b w:val="false"/>
        <w:rFonts w:ascii="Times New Roman" w:hAnsi="Times New Roman"/>
        <w:color w:val="000000"/>
      </w:rPr>
    </w:lvl>
    <w:lvl w:ilvl="5">
      <w:start w:val="1"/>
      <w:numFmt w:val="lowerRoman"/>
      <w:lvlText w:val="%6"/>
      <w:lvlJc w:val="left"/>
      <w:pPr>
        <w:tabs>
          <w:tab w:val="num" w:pos="0"/>
        </w:tabs>
        <w:ind w:left="4244" w:hanging="0"/>
      </w:pPr>
      <w:rPr>
        <w:dstrike w:val="false"/>
        <w:strike w:val="false"/>
        <w:sz w:val="26"/>
        <w:i w:val="false"/>
        <w:u w:val="none"/>
        <w:b w:val="false"/>
        <w:rFonts w:ascii="Times New Roman" w:hAnsi="Times New Roman"/>
        <w:color w:val="000000"/>
      </w:rPr>
    </w:lvl>
    <w:lvl w:ilvl="6">
      <w:start w:val="1"/>
      <w:numFmt w:val="decimal"/>
      <w:lvlText w:val="%7"/>
      <w:lvlJc w:val="left"/>
      <w:pPr>
        <w:tabs>
          <w:tab w:val="num" w:pos="0"/>
        </w:tabs>
        <w:ind w:left="4964" w:hanging="0"/>
      </w:pPr>
      <w:rPr>
        <w:dstrike w:val="false"/>
        <w:strike w:val="false"/>
        <w:sz w:val="26"/>
        <w:i w:val="false"/>
        <w:u w:val="none"/>
        <w:b w:val="false"/>
        <w:rFonts w:ascii="Times New Roman" w:hAnsi="Times New Roman"/>
        <w:color w:val="000000"/>
      </w:rPr>
    </w:lvl>
    <w:lvl w:ilvl="7">
      <w:start w:val="1"/>
      <w:numFmt w:val="lowerLetter"/>
      <w:lvlText w:val="%8"/>
      <w:lvlJc w:val="left"/>
      <w:pPr>
        <w:tabs>
          <w:tab w:val="num" w:pos="0"/>
        </w:tabs>
        <w:ind w:left="5684" w:hanging="0"/>
      </w:pPr>
      <w:rPr>
        <w:dstrike w:val="false"/>
        <w:strike w:val="false"/>
        <w:sz w:val="26"/>
        <w:i w:val="false"/>
        <w:u w:val="none"/>
        <w:b w:val="false"/>
        <w:rFonts w:ascii="Times New Roman" w:hAnsi="Times New Roman"/>
        <w:color w:val="000000"/>
      </w:rPr>
    </w:lvl>
    <w:lvl w:ilvl="8">
      <w:start w:val="1"/>
      <w:numFmt w:val="lowerRoman"/>
      <w:lvlText w:val="%9"/>
      <w:lvlJc w:val="left"/>
      <w:pPr>
        <w:tabs>
          <w:tab w:val="num" w:pos="0"/>
        </w:tabs>
        <w:ind w:left="6404" w:hanging="0"/>
      </w:pPr>
      <w:rPr>
        <w:dstrike w:val="false"/>
        <w:strike w:val="false"/>
        <w:sz w:val="26"/>
        <w:i w:val="false"/>
        <w:u w:val="none"/>
        <w:b w:val="false"/>
        <w:rFonts w:ascii="Times New Roman" w:hAnsi="Times New Roman"/>
        <w:color w:val="000000"/>
      </w:rPr>
    </w:lvl>
  </w:abstractNum>
  <w:abstractNum w:abstractNumId="10">
    <w:lvl w:ilvl="0">
      <w:start w:val="1"/>
      <w:numFmt w:val="bullet"/>
      <w:lvlText w:val="─"/>
      <w:lvlJc w:val="left"/>
      <w:pPr>
        <w:tabs>
          <w:tab w:val="num" w:pos="0"/>
        </w:tabs>
        <w:ind w:left="705" w:hanging="0"/>
      </w:pPr>
      <w:rPr>
        <w:rFonts w:ascii="Courier New" w:hAnsi="Courier New" w:cs="Courier New" w:hint="default"/>
        <w:dstrike w:val="false"/>
        <w:strike w:val="false"/>
        <w:sz w:val="26"/>
        <w:i w:val="false"/>
        <w:u w:val="none"/>
        <w:b w:val="false"/>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11">
    <w:lvl w:ilvl="0">
      <w:start w:val="1"/>
      <w:numFmt w:val="bullet"/>
      <w:lvlText w:val="─"/>
      <w:lvlJc w:val="left"/>
      <w:pPr>
        <w:tabs>
          <w:tab w:val="num" w:pos="0"/>
        </w:tabs>
        <w:ind w:left="705" w:hanging="0"/>
      </w:pPr>
      <w:rPr>
        <w:rFonts w:ascii="Courier New" w:hAnsi="Courier New" w:cs="Courier New" w:hint="default"/>
        <w:dstrike w:val="false"/>
        <w:strike w:val="false"/>
        <w:sz w:val="26"/>
        <w:i w:val="false"/>
        <w:u w:val="none"/>
        <w:b w:val="false"/>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12">
    <w:lvl w:ilvl="0">
      <w:start w:val="1"/>
      <w:numFmt w:val="bullet"/>
      <w:lvlText w:val=""/>
      <w:lvlJc w:val="left"/>
      <w:pPr>
        <w:tabs>
          <w:tab w:val="num" w:pos="0"/>
        </w:tabs>
        <w:ind w:left="705" w:hanging="0"/>
      </w:pPr>
      <w:rPr>
        <w:rFonts w:ascii="Segoe UI Symbol" w:hAnsi="Segoe UI Symbol" w:cs="Segoe UI Symbol" w:hint="default"/>
        <w:dstrike w:val="false"/>
        <w:strike w:val="false"/>
        <w:sz w:val="26"/>
        <w:i w:val="false"/>
        <w:u w:val="none"/>
        <w:b w:val="false"/>
        <w:color w:val="000000"/>
      </w:rPr>
    </w:lvl>
    <w:lvl w:ilvl="1">
      <w:start w:val="1"/>
      <w:numFmt w:val="bullet"/>
      <w:lvlText w:val=""/>
      <w:lvlJc w:val="left"/>
      <w:pPr>
        <w:tabs>
          <w:tab w:val="num" w:pos="0"/>
        </w:tabs>
        <w:ind w:left="1440" w:hanging="0"/>
      </w:pPr>
      <w:rPr>
        <w:rFonts w:ascii="Symbol" w:hAnsi="Symbol" w:cs="Symbol" w:hint="default"/>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13">
    <w:lvl w:ilvl="0">
      <w:start w:val="1"/>
      <w:numFmt w:val="bullet"/>
      <w:lvlText w:val=""/>
      <w:lvlJc w:val="left"/>
      <w:pPr>
        <w:tabs>
          <w:tab w:val="num" w:pos="0"/>
        </w:tabs>
        <w:ind w:left="705" w:hanging="0"/>
      </w:pPr>
      <w:rPr>
        <w:rFonts w:ascii="Symbol" w:hAnsi="Symbol" w:cs="Symbol" w:hint="default"/>
      </w:rPr>
    </w:lvl>
    <w:lvl w:ilvl="1">
      <w:start w:val="1"/>
      <w:numFmt w:val="bullet"/>
      <w:lvlText w:val="•"/>
      <w:lvlJc w:val="left"/>
      <w:pPr>
        <w:tabs>
          <w:tab w:val="num" w:pos="0"/>
        </w:tabs>
        <w:ind w:left="1440" w:hanging="0"/>
      </w:pPr>
      <w:rPr>
        <w:rFonts w:ascii="Arial" w:hAnsi="Arial" w:cs="Aria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14">
    <w:lvl w:ilvl="0">
      <w:start w:val="1"/>
      <w:numFmt w:val="bullet"/>
      <w:lvlText w:val=""/>
      <w:lvlJc w:val="left"/>
      <w:pPr>
        <w:tabs>
          <w:tab w:val="num" w:pos="0"/>
        </w:tabs>
        <w:ind w:left="705" w:hanging="0"/>
      </w:pPr>
      <w:rPr>
        <w:rFonts w:ascii="Segoe UI Symbol" w:hAnsi="Segoe UI Symbol" w:cs="Segoe UI Symbol" w:hint="default"/>
        <w:dstrike w:val="false"/>
        <w:strike w:val="false"/>
        <w:sz w:val="26"/>
        <w:i w:val="false"/>
        <w:u w:val="none"/>
        <w:b w:val="false"/>
        <w:color w:val="000000"/>
      </w:rPr>
    </w:lvl>
    <w:lvl w:ilvl="1">
      <w:start w:val="1"/>
      <w:numFmt w:val="bullet"/>
      <w:lvlText w:val="•"/>
      <w:lvlJc w:val="left"/>
      <w:pPr>
        <w:tabs>
          <w:tab w:val="num" w:pos="0"/>
        </w:tabs>
        <w:ind w:left="1440" w:hanging="0"/>
      </w:pPr>
      <w:rPr>
        <w:rFonts w:ascii="Arial" w:hAnsi="Arial" w:cs="Arial" w:hint="default"/>
        <w:dstrike w:val="false"/>
        <w:strike w:val="false"/>
        <w:sz w:val="26"/>
        <w:i w:val="false"/>
        <w:u w:val="none"/>
        <w:b w:val="false"/>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sz w:val="26"/>
        <w:i w:val="false"/>
        <w:u w:val="none"/>
        <w:b w:val="false"/>
        <w:color w:val="000000"/>
      </w:rPr>
    </w:lvl>
    <w:lvl w:ilvl="3">
      <w:start w:val="1"/>
      <w:numFmt w:val="bullet"/>
      <w:lvlText w:val="•"/>
      <w:lvlJc w:val="left"/>
      <w:pPr>
        <w:tabs>
          <w:tab w:val="num" w:pos="0"/>
        </w:tabs>
        <w:ind w:left="2880" w:hanging="0"/>
      </w:pPr>
      <w:rPr>
        <w:rFonts w:ascii="Arial" w:hAnsi="Arial" w:cs="Arial" w:hint="default"/>
        <w:dstrike w:val="false"/>
        <w:strike w:val="false"/>
        <w:sz w:val="26"/>
        <w:i w:val="false"/>
        <w:u w:val="none"/>
        <w:b w:val="false"/>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sz w:val="26"/>
        <w:i w:val="false"/>
        <w:u w:val="none"/>
        <w:b w:val="false"/>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sz w:val="26"/>
        <w:i w:val="false"/>
        <w:u w:val="none"/>
        <w:b w:val="false"/>
        <w:color w:val="000000"/>
      </w:rPr>
    </w:lvl>
    <w:lvl w:ilvl="6">
      <w:start w:val="1"/>
      <w:numFmt w:val="bullet"/>
      <w:lvlText w:val="•"/>
      <w:lvlJc w:val="left"/>
      <w:pPr>
        <w:tabs>
          <w:tab w:val="num" w:pos="0"/>
        </w:tabs>
        <w:ind w:left="5040" w:hanging="0"/>
      </w:pPr>
      <w:rPr>
        <w:rFonts w:ascii="Arial" w:hAnsi="Arial" w:cs="Arial" w:hint="default"/>
        <w:dstrike w:val="false"/>
        <w:strike w:val="false"/>
        <w:sz w:val="26"/>
        <w:i w:val="false"/>
        <w:u w:val="none"/>
        <w:b w:val="false"/>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sz w:val="26"/>
        <w:i w:val="false"/>
        <w:u w:val="none"/>
        <w:b w:val="false"/>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sz w:val="26"/>
        <w:i w:val="false"/>
        <w:u w:val="none"/>
        <w:b w:val="false"/>
        <w:color w:val="000000"/>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65"/>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suppressAutoHyphens w:val="true"/>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suppressAutoHyphens w:val="true"/>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suppressAutoHyphens w:val="true"/>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suppressAutoHyphens w:val="true"/>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suppressAutoHyphens w:val="true"/>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Contents2">
    <w:name w:val="Contents 2"/>
    <w:qFormat/>
    <w:rPr>
      <w:rFonts w:ascii="XO Thames" w:hAnsi="XO Thames"/>
      <w:sz w:val="28"/>
    </w:rPr>
  </w:style>
  <w:style w:type="character" w:styleId="Contents4">
    <w:name w:val="Contents 4"/>
    <w:qFormat/>
    <w:rPr>
      <w:rFonts w:ascii="XO Thames" w:hAnsi="XO Thames"/>
      <w:sz w:val="28"/>
    </w:rPr>
  </w:style>
  <w:style w:type="character" w:styleId="Contents6">
    <w:name w:val="Contents 6"/>
    <w:qFormat/>
    <w:rPr>
      <w:rFonts w:ascii="XO Thames" w:hAnsi="XO Thames"/>
      <w:sz w:val="28"/>
    </w:rPr>
  </w:style>
  <w:style w:type="character" w:styleId="Contents7">
    <w:name w:val="Contents 7"/>
    <w:qFormat/>
    <w:rPr>
      <w:rFonts w:ascii="XO Thames" w:hAnsi="XO Thames"/>
      <w:sz w:val="28"/>
    </w:rPr>
  </w:style>
  <w:style w:type="character" w:styleId="Heading31">
    <w:name w:val="Heading 31"/>
    <w:qFormat/>
    <w:rPr>
      <w:rFonts w:ascii="XO Thames" w:hAnsi="XO Thames"/>
      <w:b/>
      <w:sz w:val="26"/>
    </w:rPr>
  </w:style>
  <w:style w:type="character" w:styleId="Contents3">
    <w:name w:val="Contents 3"/>
    <w:qFormat/>
    <w:rPr>
      <w:rFonts w:ascii="XO Thames" w:hAnsi="XO Thames"/>
      <w:sz w:val="28"/>
    </w:rPr>
  </w:style>
  <w:style w:type="character" w:styleId="Heading51">
    <w:name w:val="Heading 51"/>
    <w:qFormat/>
    <w:rPr>
      <w:rFonts w:ascii="XO Thames" w:hAnsi="XO Thames"/>
      <w:b/>
      <w:sz w:val="22"/>
    </w:rPr>
  </w:style>
  <w:style w:type="character" w:styleId="Heading11">
    <w:name w:val="Heading 11"/>
    <w:qFormat/>
    <w:rPr>
      <w:rFonts w:ascii="XO Thames" w:hAnsi="XO Thames"/>
      <w:b/>
      <w:sz w:val="32"/>
    </w:rPr>
  </w:style>
  <w:style w:type="character" w:styleId="Hyperlink">
    <w:name w:val="Hyperlink"/>
    <w:rPr>
      <w:color w:val="0000FF"/>
      <w:u w:val="single"/>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HeaderandFooter">
    <w:name w:val="Header and Footer"/>
    <w:qFormat/>
    <w:rPr>
      <w:rFonts w:ascii="XO Thames" w:hAnsi="XO Thames"/>
      <w:sz w:val="20"/>
    </w:rPr>
  </w:style>
  <w:style w:type="character" w:styleId="Contents9">
    <w:name w:val="Contents 9"/>
    <w:qFormat/>
    <w:rPr>
      <w:rFonts w:ascii="XO Thames" w:hAnsi="XO Thames"/>
      <w:sz w:val="28"/>
    </w:rPr>
  </w:style>
  <w:style w:type="character" w:styleId="Contents8">
    <w:name w:val="Contents 8"/>
    <w:qFormat/>
    <w:rPr>
      <w:rFonts w:ascii="XO Thames" w:hAnsi="XO Thames"/>
      <w:sz w:val="28"/>
    </w:rPr>
  </w:style>
  <w:style w:type="character" w:styleId="Contents5">
    <w:name w:val="Contents 5"/>
    <w:qFormat/>
    <w:rPr>
      <w:rFonts w:ascii="XO Thames" w:hAnsi="XO Thames"/>
      <w:sz w:val="28"/>
    </w:rPr>
  </w:style>
  <w:style w:type="character" w:styleId="Subtitle1">
    <w:name w:val="Subtitle1"/>
    <w:qFormat/>
    <w:rPr>
      <w:rFonts w:ascii="XO Thames" w:hAnsi="XO Thames"/>
      <w:i/>
      <w:sz w:val="24"/>
    </w:rPr>
  </w:style>
  <w:style w:type="character" w:styleId="Title1">
    <w:name w:val="Title1"/>
    <w:qFormat/>
    <w:rPr>
      <w:rFonts w:ascii="XO Thames" w:hAnsi="XO Thames"/>
      <w:b/>
      <w:caps/>
      <w:sz w:val="40"/>
    </w:rPr>
  </w:style>
  <w:style w:type="character" w:styleId="Heading41">
    <w:name w:val="Heading 41"/>
    <w:qFormat/>
    <w:rPr>
      <w:rFonts w:ascii="XO Thames" w:hAnsi="XO Thames"/>
      <w:b/>
      <w:sz w:val="24"/>
    </w:rPr>
  </w:style>
  <w:style w:type="character" w:styleId="Heading21">
    <w:name w:val="Heading 21"/>
    <w:qFormat/>
    <w:rPr>
      <w:rFonts w:ascii="XO Thames" w:hAnsi="XO Thames"/>
      <w:b/>
      <w:sz w:val="28"/>
    </w:rPr>
  </w:style>
  <w:style w:type="character" w:styleId="Style9">
    <w:name w:val="Символ сноски"/>
    <w:qFormat/>
    <w:rPr>
      <w:vertAlign w:val="superscript"/>
    </w:rPr>
  </w:style>
  <w:style w:type="character" w:styleId="FootnoteReference">
    <w:name w:val="Footnote Reference"/>
    <w:rPr>
      <w:vertAlign w:val="superscript"/>
    </w:rPr>
  </w:style>
  <w:style w:type="character" w:styleId="Style10">
    <w:name w:val="Символ концевой сноски"/>
    <w:qFormat/>
    <w:rPr/>
  </w:style>
  <w:style w:type="character" w:styleId="EndnoteReference">
    <w:name w:val="Endnote Reference"/>
    <w:rPr>
      <w:vertAlign w:val="superscript"/>
    </w:rPr>
  </w:style>
  <w:style w:type="character" w:styleId="Style11">
    <w:name w:val="Маркеры"/>
    <w:qFormat/>
    <w:rPr>
      <w:rFonts w:ascii="OpenSymbol" w:hAnsi="OpenSymbol" w:eastAsia="OpenSymbol" w:cs="OpenSymbol"/>
    </w:rPr>
  </w:style>
  <w:style w:type="character" w:styleId="Style12">
    <w:name w:val="Символ нумерации"/>
    <w:qFormat/>
    <w:rPr>
      <w:rFonts w:ascii="Times New Roman" w:hAnsi="Times New Roman"/>
      <w:sz w:val="28"/>
      <w:szCs w:val="28"/>
    </w:rPr>
  </w:style>
  <w:style w:type="character" w:styleId="Style13">
    <w:name w:val="Ссылка указателя"/>
    <w:qFormat/>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TOC2">
    <w:name w:val="TOC 2"/>
    <w:next w:val="Normal"/>
    <w:uiPriority w:val="39"/>
    <w:pPr>
      <w:widowControl/>
      <w:suppressAutoHyphens w:val="true"/>
      <w:bidi w:val="0"/>
      <w:spacing w:lineRule="auto" w:line="240" w:before="0" w:after="0"/>
      <w:ind w:hanging="0" w:left="200" w:right="0"/>
      <w:jc w:val="left"/>
    </w:pPr>
    <w:rPr>
      <w:rFonts w:ascii="XO Thames" w:hAnsi="XO Thames" w:eastAsia="Tahoma" w:cs="Lohit Devanagari"/>
      <w:color w:val="000000"/>
      <w:spacing w:val="0"/>
      <w:kern w:val="0"/>
      <w:sz w:val="28"/>
      <w:szCs w:val="20"/>
      <w:lang w:val="ru-RU" w:eastAsia="zh-CN" w:bidi="hi-IN"/>
    </w:rPr>
  </w:style>
  <w:style w:type="paragraph" w:styleId="TOC4">
    <w:name w:val="TOC 4"/>
    <w:next w:val="Normal"/>
    <w:uiPriority w:val="39"/>
    <w:pPr>
      <w:widowControl/>
      <w:suppressAutoHyphens w:val="true"/>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TOC6">
    <w:name w:val="TOC 6"/>
    <w:next w:val="Normal"/>
    <w:uiPriority w:val="39"/>
    <w:pPr>
      <w:widowControl/>
      <w:suppressAutoHyphens w:val="true"/>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TOC7">
    <w:name w:val="TOC 7"/>
    <w:next w:val="Normal"/>
    <w:uiPriority w:val="39"/>
    <w:pPr>
      <w:widowControl/>
      <w:suppressAutoHyphens w:val="true"/>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TOC3">
    <w:name w:val="TOC 3"/>
    <w:next w:val="Normal"/>
    <w:uiPriority w:val="39"/>
    <w:pPr>
      <w:widowControl/>
      <w:suppressAutoHyphens w:val="true"/>
      <w:bidi w:val="0"/>
      <w:spacing w:lineRule="auto" w:line="240" w:before="0" w:after="0"/>
      <w:ind w:hanging="0" w:left="400" w:right="0"/>
      <w:jc w:val="left"/>
    </w:pPr>
    <w:rPr>
      <w:rFonts w:ascii="XO Thames" w:hAnsi="XO Thames" w:eastAsia="Tahoma" w:cs="Lohit Devanagari"/>
      <w:color w:val="000000"/>
      <w:spacing w:val="0"/>
      <w:kern w:val="0"/>
      <w:sz w:val="28"/>
      <w:szCs w:val="20"/>
      <w:lang w:val="ru-RU" w:eastAsia="zh-CN" w:bidi="hi-IN"/>
    </w:rPr>
  </w:style>
  <w:style w:type="paragraph" w:styleId="Internetlink">
    <w:name w:val="Internet link"/>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1">
    <w:name w:val="Footnote1"/>
    <w:link w:val="Footnote"/>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TOC1">
    <w:name w:val="TOC 1"/>
    <w:next w:val="Normal"/>
    <w:uiPriority w:val="39"/>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Style16">
    <w:name w:val="Колонтитул"/>
    <w:qFormat/>
    <w:pPr>
      <w:widowControl/>
      <w:suppressAutoHyphens w:val="true"/>
      <w:bidi w:val="0"/>
      <w:spacing w:lineRule="auto" w:line="240" w:before="0" w:after="0"/>
      <w:ind w:hanging="0" w:left="0" w:right="0"/>
      <w:jc w:val="both"/>
    </w:pPr>
    <w:rPr>
      <w:rFonts w:ascii="XO Thames" w:hAnsi="XO Thames" w:eastAsia="Tahoma" w:cs="Lohit Devanagari"/>
      <w:color w:val="000000"/>
      <w:spacing w:val="0"/>
      <w:kern w:val="0"/>
      <w:sz w:val="20"/>
      <w:szCs w:val="20"/>
      <w:lang w:val="ru-RU" w:eastAsia="zh-CN" w:bidi="hi-IN"/>
    </w:rPr>
  </w:style>
  <w:style w:type="paragraph" w:styleId="TOC9">
    <w:name w:val="TOC 9"/>
    <w:next w:val="Normal"/>
    <w:uiPriority w:val="39"/>
    <w:pPr>
      <w:widowControl/>
      <w:suppressAutoHyphens w:val="true"/>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TOC8">
    <w:name w:val="TOC 8"/>
    <w:next w:val="Normal"/>
    <w:uiPriority w:val="39"/>
    <w:pPr>
      <w:widowControl/>
      <w:suppressAutoHyphens w:val="true"/>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TOC5">
    <w:name w:val="TOC 5"/>
    <w:next w:val="Normal"/>
    <w:uiPriority w:val="39"/>
    <w:pPr>
      <w:widowControl/>
      <w:suppressAutoHyphens w:val="true"/>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Subtitle">
    <w:name w:val="Subtitle"/>
    <w:next w:val="Normal"/>
    <w:uiPriority w:val="11"/>
    <w:qFormat/>
    <w:pPr>
      <w:widowControl/>
      <w:suppressAutoHyphens w:val="true"/>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Title">
    <w:name w:val="Title"/>
    <w:next w:val="Normal"/>
    <w:uiPriority w:val="10"/>
    <w:qFormat/>
    <w:pPr>
      <w:widowControl/>
      <w:suppressAutoHyphens w:val="true"/>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FootnoteText">
    <w:name w:val="Footnote Text"/>
    <w:basedOn w:val="Normal"/>
    <w:pPr/>
    <w:rPr/>
  </w:style>
  <w:style w:type="paragraph" w:styleId="Header">
    <w:name w:val="Header"/>
    <w:basedOn w:val="Style16"/>
    <w:pPr/>
    <w:rPr/>
  </w:style>
  <w:style w:type="paragraph" w:styleId="Style17">
    <w:name w:val="Содержимое врезки"/>
    <w:basedOn w:val="Normal"/>
    <w:qFormat/>
    <w:pPr/>
    <w:rPr/>
  </w:style>
  <w:style w:type="paragraph" w:styleId="Footer">
    <w:name w:val="Footer"/>
    <w:basedOn w:val="Style16"/>
    <w:pPr/>
    <w:rPr/>
  </w:style>
  <w:style w:type="paragraph" w:styleId="Style18">
    <w:name w:val="Содержимое таблицы"/>
    <w:basedOn w:val="Normal"/>
    <w:qFormat/>
    <w:pPr>
      <w:widowControl w:val="false"/>
      <w:suppressLineNumbers/>
    </w:pPr>
    <w:rPr/>
  </w:style>
  <w:style w:type="paragraph" w:styleId="Style19">
    <w:name w:val="Заголовок таблицы"/>
    <w:basedOn w:val="Style18"/>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68</TotalTime>
  <Application>LibreOffice/7.6.7.2$Linux_X86_64 LibreOffice_project/60$Build-2</Application>
  <AppVersion>15.0000</AppVersion>
  <Pages>15</Pages>
  <Words>3598</Words>
  <Characters>25907</Characters>
  <CharactersWithSpaces>29497</CharactersWithSpaces>
  <Paragraphs>307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2026-03-17T20:46:32Z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